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69F" w:rsidRDefault="00C9269F">
      <w:pPr>
        <w:pStyle w:val="10"/>
        <w:spacing w:beforeLines="50" w:before="156" w:afterLines="50" w:after="156" w:line="400" w:lineRule="atLeast"/>
        <w:ind w:left="357" w:firstLineChars="0" w:firstLine="0"/>
        <w:contextualSpacing/>
        <w:jc w:val="distribute"/>
        <w:rPr>
          <w:rFonts w:eastAsia="黑体" w:hint="eastAsia"/>
          <w:sz w:val="48"/>
          <w:szCs w:val="48"/>
        </w:rPr>
      </w:pPr>
    </w:p>
    <w:p w:rsidR="00C9269F" w:rsidRDefault="00FA574A">
      <w:pPr>
        <w:pStyle w:val="10"/>
        <w:spacing w:beforeLines="50" w:before="156" w:afterLines="50" w:after="156" w:line="400" w:lineRule="atLeast"/>
        <w:ind w:firstLineChars="0" w:firstLine="0"/>
        <w:contextualSpacing/>
        <w:jc w:val="distribute"/>
        <w:rPr>
          <w:rFonts w:eastAsia="黑体"/>
          <w:sz w:val="48"/>
          <w:szCs w:val="48"/>
        </w:rPr>
      </w:pPr>
      <w:r>
        <w:rPr>
          <w:rFonts w:eastAsia="黑体"/>
          <w:sz w:val="48"/>
          <w:szCs w:val="48"/>
        </w:rPr>
        <w:t>绿色食品生产操作规程</w:t>
      </w:r>
    </w:p>
    <w:p w:rsidR="00C9269F" w:rsidRDefault="00FA574A">
      <w:pPr>
        <w:pStyle w:val="10"/>
        <w:spacing w:beforeLines="50" w:before="156" w:afterLines="50" w:after="156" w:line="400" w:lineRule="atLeast"/>
        <w:ind w:firstLineChars="0" w:firstLine="0"/>
        <w:contextualSpacing/>
        <w:jc w:val="right"/>
        <w:rPr>
          <w:color w:val="000000"/>
          <w:sz w:val="28"/>
          <w:szCs w:val="28"/>
        </w:rPr>
      </w:pPr>
      <w:r>
        <w:rPr>
          <w:rFonts w:ascii="黑体" w:eastAsia="黑体" w:hAnsi="黑体" w:cs="宋体"/>
          <w:sz w:val="28"/>
          <w:szCs w:val="28"/>
        </w:rPr>
        <w:t>LB/T</w:t>
      </w:r>
      <w:r>
        <w:rPr>
          <w:rFonts w:ascii="黑体" w:eastAsia="黑体" w:hAnsi="黑体" w:cs="宋体" w:hint="eastAsia"/>
          <w:sz w:val="28"/>
          <w:szCs w:val="28"/>
        </w:rPr>
        <w:t xml:space="preserve"> </w:t>
      </w:r>
      <w:r w:rsidR="00C2734F">
        <w:rPr>
          <w:rFonts w:ascii="黑体" w:eastAsia="黑体" w:hAnsi="黑体" w:cs="宋体" w:hint="eastAsia"/>
          <w:sz w:val="28"/>
          <w:szCs w:val="28"/>
        </w:rPr>
        <w:t>360</w:t>
      </w:r>
      <w:r>
        <w:rPr>
          <w:rFonts w:ascii="黑体" w:eastAsia="黑体" w:hAnsi="黑体" w:cs="宋体" w:hint="eastAsia"/>
          <w:sz w:val="28"/>
          <w:szCs w:val="28"/>
        </w:rPr>
        <w:t>-</w:t>
      </w:r>
      <w:r>
        <w:rPr>
          <w:rFonts w:ascii="黑体" w:eastAsia="黑体" w:hAnsi="黑体" w:cs="宋体"/>
          <w:sz w:val="28"/>
          <w:szCs w:val="28"/>
        </w:rPr>
        <w:t>20</w:t>
      </w:r>
      <w:r>
        <w:rPr>
          <w:rFonts w:ascii="黑体" w:eastAsia="黑体" w:hAnsi="黑体" w:cs="宋体" w:hint="eastAsia"/>
          <w:sz w:val="28"/>
          <w:szCs w:val="28"/>
        </w:rPr>
        <w:t>26</w:t>
      </w:r>
    </w:p>
    <w:p w:rsidR="00C9269F" w:rsidRDefault="0087534B">
      <w:pPr>
        <w:pStyle w:val="10"/>
        <w:spacing w:beforeLines="50" w:before="156" w:afterLines="50" w:after="156" w:line="400" w:lineRule="atLeast"/>
        <w:ind w:firstLineChars="0" w:firstLine="0"/>
        <w:contextualSpacing/>
        <w:jc w:val="right"/>
        <w:rPr>
          <w:sz w:val="28"/>
          <w:szCs w:val="28"/>
        </w:rPr>
      </w:pPr>
      <w:r>
        <w:rPr>
          <w:sz w:val="28"/>
          <w:szCs w:val="28"/>
        </w:rPr>
        <w:pict w14:anchorId="5FA780D1">
          <v:shapetype id="_x0000_t32" coordsize="21600,21600" o:spt="32" o:oned="t" path="m,l21600,21600e" filled="f">
            <v:path arrowok="t" fillok="f" o:connecttype="none"/>
            <o:lock v:ext="edit" shapetype="t"/>
          </v:shapetype>
          <v:shape id="_x0000_s1026" type="#_x0000_t32" style="position:absolute;left:0;text-align:left;margin-left:12.6pt;margin-top:5.9pt;width:407.4pt;height:0;z-index:251661312;mso-width-relative:page;mso-height-relative:page" o:gfxdata="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PxBbM1AAAAAgBAAAPAAAAAAAAAAEAIAAAACIAAABkcnMvZG93bnJldi54bWxQSwECFAAU&#10;AAAACACHTuJANgXMYvUBAAC+AwAADgAAAAAAAAABACAAAAAjAQAAZHJzL2Uyb0RvYy54bWxQSwUG&#10;AAAAAAYABgBZAQAAigUAAAAA&#10;"/>
        </w:pict>
      </w:r>
    </w:p>
    <w:p w:rsidR="00C9269F" w:rsidRDefault="00C9269F">
      <w:pPr>
        <w:pStyle w:val="10"/>
        <w:spacing w:beforeLines="50" w:before="156" w:afterLines="50" w:after="156" w:line="400" w:lineRule="atLeast"/>
        <w:ind w:firstLineChars="0" w:firstLine="0"/>
        <w:contextualSpacing/>
        <w:jc w:val="center"/>
        <w:rPr>
          <w:sz w:val="32"/>
          <w:szCs w:val="32"/>
        </w:rPr>
      </w:pPr>
    </w:p>
    <w:p w:rsidR="00C9269F" w:rsidRDefault="00C9269F">
      <w:pPr>
        <w:pStyle w:val="10"/>
        <w:spacing w:beforeLines="50" w:before="156" w:afterLines="50" w:after="156" w:line="400" w:lineRule="atLeast"/>
        <w:ind w:firstLineChars="0" w:firstLine="0"/>
        <w:contextualSpacing/>
        <w:jc w:val="center"/>
        <w:rPr>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48"/>
          <w:szCs w:val="48"/>
        </w:rPr>
      </w:pPr>
      <w:bookmarkStart w:id="0" w:name="OLE_LINK6"/>
    </w:p>
    <w:p w:rsidR="00C9269F" w:rsidRDefault="00FA574A">
      <w:pPr>
        <w:pStyle w:val="10"/>
        <w:spacing w:beforeLines="50" w:before="156" w:afterLines="50" w:after="156" w:line="400" w:lineRule="atLeast"/>
        <w:ind w:firstLineChars="0" w:firstLine="0"/>
        <w:contextualSpacing/>
        <w:jc w:val="center"/>
        <w:rPr>
          <w:rFonts w:eastAsia="黑体"/>
          <w:sz w:val="32"/>
          <w:szCs w:val="32"/>
        </w:rPr>
      </w:pPr>
      <w:r>
        <w:rPr>
          <w:rFonts w:eastAsia="黑体"/>
          <w:sz w:val="48"/>
          <w:szCs w:val="48"/>
        </w:rPr>
        <w:t>绿色食品</w:t>
      </w:r>
      <w:r>
        <w:rPr>
          <w:rFonts w:eastAsia="黑体" w:hint="eastAsia"/>
          <w:sz w:val="48"/>
          <w:szCs w:val="48"/>
        </w:rPr>
        <w:t>干黄花菜</w:t>
      </w:r>
      <w:r>
        <w:rPr>
          <w:rFonts w:eastAsia="黑体"/>
          <w:sz w:val="48"/>
          <w:szCs w:val="48"/>
        </w:rPr>
        <w:t>生产操作规程</w:t>
      </w:r>
    </w:p>
    <w:bookmarkEnd w:id="0"/>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rFonts w:eastAsia="黑体"/>
          <w:sz w:val="32"/>
          <w:szCs w:val="32"/>
        </w:rPr>
      </w:pPr>
    </w:p>
    <w:p w:rsidR="00C9269F" w:rsidRDefault="00C9269F">
      <w:pPr>
        <w:pStyle w:val="10"/>
        <w:spacing w:beforeLines="50" w:before="156" w:afterLines="50" w:after="156" w:line="400" w:lineRule="atLeast"/>
        <w:ind w:firstLineChars="0" w:firstLine="0"/>
        <w:contextualSpacing/>
        <w:jc w:val="center"/>
        <w:rPr>
          <w:sz w:val="32"/>
          <w:szCs w:val="32"/>
        </w:rPr>
      </w:pPr>
    </w:p>
    <w:p w:rsidR="00C9269F" w:rsidRDefault="00C9269F">
      <w:pPr>
        <w:pStyle w:val="10"/>
        <w:spacing w:beforeLines="50" w:before="156" w:afterLines="50" w:after="156" w:line="400" w:lineRule="atLeast"/>
        <w:ind w:firstLineChars="0" w:firstLine="0"/>
        <w:contextualSpacing/>
        <w:jc w:val="center"/>
        <w:rPr>
          <w:sz w:val="32"/>
          <w:szCs w:val="32"/>
        </w:rPr>
      </w:pPr>
    </w:p>
    <w:p w:rsidR="00C9269F" w:rsidRDefault="00C9269F">
      <w:pPr>
        <w:pStyle w:val="10"/>
        <w:spacing w:beforeLines="50" w:before="156" w:afterLines="50" w:after="156" w:line="400" w:lineRule="atLeast"/>
        <w:ind w:firstLineChars="0" w:firstLine="0"/>
        <w:contextualSpacing/>
        <w:jc w:val="center"/>
        <w:rPr>
          <w:sz w:val="32"/>
          <w:szCs w:val="32"/>
        </w:rPr>
      </w:pPr>
    </w:p>
    <w:p w:rsidR="00C9269F" w:rsidRDefault="00C9269F">
      <w:pPr>
        <w:pStyle w:val="10"/>
        <w:spacing w:beforeLines="50" w:before="156" w:afterLines="50" w:after="156" w:line="400" w:lineRule="atLeast"/>
        <w:ind w:firstLineChars="0" w:firstLine="0"/>
        <w:contextualSpacing/>
        <w:jc w:val="center"/>
        <w:rPr>
          <w:sz w:val="32"/>
          <w:szCs w:val="32"/>
        </w:rPr>
      </w:pPr>
    </w:p>
    <w:p w:rsidR="00C9269F" w:rsidRDefault="00C9269F">
      <w:pPr>
        <w:pStyle w:val="10"/>
        <w:spacing w:beforeLines="50" w:before="156" w:afterLines="50" w:after="156" w:line="400" w:lineRule="atLeast"/>
        <w:ind w:firstLineChars="0" w:firstLine="0"/>
        <w:contextualSpacing/>
        <w:jc w:val="center"/>
        <w:rPr>
          <w:b/>
          <w:sz w:val="32"/>
          <w:szCs w:val="32"/>
        </w:rPr>
      </w:pPr>
    </w:p>
    <w:p w:rsidR="00C9269F" w:rsidRDefault="00C2734F">
      <w:pPr>
        <w:pStyle w:val="10"/>
        <w:spacing w:beforeLines="50" w:before="156" w:afterLines="50" w:after="156" w:line="400" w:lineRule="atLeast"/>
        <w:ind w:firstLineChars="0" w:firstLine="0"/>
        <w:contextualSpacing/>
        <w:jc w:val="center"/>
        <w:rPr>
          <w:rFonts w:ascii="黑体" w:eastAsia="黑体" w:hAnsi="黑体" w:cs="宋体"/>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bookmarkStart w:id="1" w:name="_GoBack"/>
      <w:bookmarkEnd w:id="1"/>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C9269F" w:rsidRDefault="0087534B">
      <w:pPr>
        <w:pStyle w:val="10"/>
        <w:spacing w:beforeLines="50" w:before="156" w:afterLines="50" w:after="156" w:line="400" w:lineRule="atLeast"/>
        <w:ind w:firstLineChars="0" w:firstLine="0"/>
        <w:contextualSpacing/>
        <w:jc w:val="left"/>
        <w:rPr>
          <w:rFonts w:eastAsia="黑体"/>
          <w:sz w:val="24"/>
          <w:szCs w:val="24"/>
        </w:rPr>
      </w:pPr>
      <w:r>
        <w:pict w14:anchorId="3805B79B">
          <v:shape id="_x0000_s1027" type="#_x0000_t32" style="position:absolute;margin-left:16.2pt;margin-top:9pt;width:382.2pt;height:1.2pt;z-index:251660288;mso-width-relative:page;mso-height-relative:page" o:gfxdata="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RqLaR1wAAAAgBAAAPAAAAAAAAAAEAIAAAACIAAABkcnMvZG93bnJldi54bWxQ&#10;SwECFAAUAAAACACHTuJAEZfEivgBAADCAwAADgAAAAAAAAABACAAAAAmAQAAZHJzL2Uyb0RvYy54&#10;bWxQSwUGAAAAAAYABgBZAQAAkAUAAAAA&#10;"/>
        </w:pict>
      </w:r>
    </w:p>
    <w:p w:rsidR="00C9269F" w:rsidRDefault="00FA574A">
      <w:pPr>
        <w:pStyle w:val="10"/>
        <w:spacing w:beforeLines="50" w:before="156" w:afterLines="50" w:after="156" w:line="400" w:lineRule="atLeast"/>
        <w:ind w:firstLineChars="0" w:firstLine="0"/>
        <w:contextualSpacing/>
        <w:jc w:val="center"/>
        <w:rPr>
          <w:rFonts w:eastAsia="黑体"/>
          <w:spacing w:val="8"/>
          <w:kern w:val="0"/>
          <w:sz w:val="28"/>
          <w:szCs w:val="28"/>
        </w:rPr>
        <w:sectPr w:rsidR="00C9269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118" w:left="1800" w:header="851" w:footer="992" w:gutter="0"/>
          <w:cols w:space="425"/>
          <w:docGrid w:type="lines" w:linePitch="312"/>
        </w:sectPr>
      </w:pPr>
      <w:r w:rsidRPr="00E25B9D">
        <w:rPr>
          <w:rFonts w:eastAsia="华文中宋"/>
          <w:spacing w:val="41"/>
          <w:kern w:val="0"/>
          <w:sz w:val="32"/>
          <w:szCs w:val="32"/>
          <w:fitText w:val="5385" w:id="916601856"/>
        </w:rPr>
        <w:t>中国绿色食品发展中心</w:t>
      </w:r>
      <w:r w:rsidRPr="00E25B9D">
        <w:rPr>
          <w:rFonts w:eastAsia="华文中宋"/>
          <w:spacing w:val="41"/>
          <w:kern w:val="0"/>
          <w:sz w:val="32"/>
          <w:szCs w:val="32"/>
          <w:fitText w:val="5385" w:id="916601856"/>
        </w:rPr>
        <w:t xml:space="preserve">  </w:t>
      </w:r>
      <w:r w:rsidRPr="00E25B9D">
        <w:rPr>
          <w:rFonts w:eastAsia="黑体"/>
          <w:spacing w:val="41"/>
          <w:kern w:val="0"/>
          <w:sz w:val="28"/>
          <w:szCs w:val="28"/>
          <w:fitText w:val="5385" w:id="916601856"/>
        </w:rPr>
        <w:t>发</w:t>
      </w:r>
      <w:r w:rsidRPr="00E25B9D">
        <w:rPr>
          <w:rFonts w:eastAsia="黑体"/>
          <w:spacing w:val="41"/>
          <w:kern w:val="0"/>
          <w:sz w:val="28"/>
          <w:szCs w:val="28"/>
          <w:fitText w:val="5385" w:id="916601856"/>
        </w:rPr>
        <w:t xml:space="preserve"> </w:t>
      </w:r>
      <w:r w:rsidRPr="00E25B9D">
        <w:rPr>
          <w:rFonts w:eastAsia="黑体"/>
          <w:spacing w:val="8"/>
          <w:kern w:val="0"/>
          <w:sz w:val="28"/>
          <w:szCs w:val="28"/>
          <w:fitText w:val="5385" w:id="916601856"/>
        </w:rPr>
        <w:t>布</w:t>
      </w:r>
    </w:p>
    <w:p w:rsidR="00C9269F" w:rsidRDefault="00C9269F">
      <w:pPr>
        <w:widowControl/>
        <w:ind w:firstLine="480"/>
        <w:jc w:val="left"/>
        <w:rPr>
          <w:rFonts w:cs="Times New Roman"/>
          <w:sz w:val="24"/>
        </w:rPr>
      </w:pPr>
    </w:p>
    <w:p w:rsidR="00C9269F" w:rsidRDefault="00FA574A">
      <w:pPr>
        <w:pStyle w:val="10"/>
        <w:spacing w:beforeLines="50" w:before="156" w:afterLines="50" w:after="156" w:line="400" w:lineRule="atLeast"/>
        <w:ind w:left="357" w:firstLineChars="0" w:firstLine="0"/>
        <w:contextualSpacing/>
        <w:jc w:val="center"/>
        <w:rPr>
          <w:rFonts w:eastAsia="黑体"/>
          <w:sz w:val="32"/>
          <w:szCs w:val="32"/>
        </w:rPr>
      </w:pPr>
      <w:r>
        <w:rPr>
          <w:rFonts w:eastAsia="黑体"/>
          <w:sz w:val="32"/>
          <w:szCs w:val="32"/>
        </w:rPr>
        <w:t>前</w:t>
      </w:r>
      <w:r>
        <w:rPr>
          <w:rFonts w:eastAsia="黑体"/>
          <w:sz w:val="32"/>
          <w:szCs w:val="32"/>
        </w:rPr>
        <w:t xml:space="preserve"> </w:t>
      </w:r>
      <w:r>
        <w:rPr>
          <w:rFonts w:eastAsia="黑体"/>
          <w:sz w:val="32"/>
          <w:szCs w:val="32"/>
        </w:rPr>
        <w:t>言</w:t>
      </w:r>
    </w:p>
    <w:p w:rsidR="00C9269F" w:rsidRDefault="00C9269F">
      <w:pPr>
        <w:pStyle w:val="10"/>
        <w:spacing w:beforeLines="50" w:before="156" w:afterLines="50" w:after="156" w:line="400" w:lineRule="atLeast"/>
        <w:ind w:left="357" w:firstLineChars="0" w:firstLine="0"/>
        <w:contextualSpacing/>
        <w:jc w:val="center"/>
        <w:rPr>
          <w:sz w:val="32"/>
          <w:szCs w:val="32"/>
        </w:rPr>
      </w:pPr>
    </w:p>
    <w:p w:rsidR="00C9269F" w:rsidRDefault="00C9269F">
      <w:pPr>
        <w:pStyle w:val="10"/>
        <w:spacing w:beforeLines="50" w:before="156" w:afterLines="50" w:after="156" w:line="400" w:lineRule="atLeast"/>
        <w:ind w:left="357" w:firstLineChars="0" w:firstLine="0"/>
        <w:contextualSpacing/>
        <w:jc w:val="center"/>
        <w:rPr>
          <w:sz w:val="32"/>
          <w:szCs w:val="32"/>
        </w:rPr>
      </w:pPr>
    </w:p>
    <w:p w:rsidR="00C9269F" w:rsidRDefault="00FA574A">
      <w:pPr>
        <w:pStyle w:val="10"/>
        <w:spacing w:beforeLines="50" w:before="156" w:afterLines="50" w:after="156" w:line="400" w:lineRule="atLeast"/>
        <w:contextualSpacing/>
        <w:jc w:val="left"/>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C9269F" w:rsidRDefault="00FA574A">
      <w:pPr>
        <w:pStyle w:val="10"/>
        <w:spacing w:beforeLines="50" w:before="156" w:afterLines="50" w:after="156" w:line="400" w:lineRule="atLeast"/>
        <w:contextualSpacing/>
        <w:jc w:val="left"/>
      </w:pPr>
      <w:r>
        <w:rPr>
          <w:rFonts w:ascii="宋体" w:hAnsi="宋体" w:cs="宋体" w:hint="eastAsia"/>
        </w:rPr>
        <w:t>本文件起草单位：</w:t>
      </w:r>
      <w:r>
        <w:rPr>
          <w:rFonts w:hint="eastAsia"/>
        </w:rPr>
        <w:t>湖南省绿色食品办公室、湖南省核农业与中药材研究所、湖南省绿色食品协会、</w:t>
      </w:r>
      <w:r>
        <w:rPr>
          <w:rFonts w:ascii="宋体" w:hAnsi="宋体" w:cs="宋体"/>
        </w:rPr>
        <w:t>中国绿色食品发展中心</w:t>
      </w:r>
      <w:r>
        <w:rPr>
          <w:rFonts w:ascii="宋体" w:hAnsi="宋体" w:cs="宋体" w:hint="eastAsia"/>
        </w:rPr>
        <w:t>、</w:t>
      </w:r>
      <w:r>
        <w:rPr>
          <w:rFonts w:hint="eastAsia"/>
        </w:rPr>
        <w:t>衡阳市农产品质量安全中心、山西省</w:t>
      </w:r>
      <w:r>
        <w:t>农产品质量安全中心</w:t>
      </w:r>
      <w:r>
        <w:rPr>
          <w:rFonts w:hint="eastAsia"/>
        </w:rPr>
        <w:t>、</w:t>
      </w:r>
      <w:r>
        <w:rPr>
          <w:rFonts w:ascii="宋体" w:hAnsi="宋体" w:cs="宋体" w:hint="eastAsia"/>
        </w:rPr>
        <w:t>湖南雁隆食品有限责任公司</w:t>
      </w:r>
      <w:r>
        <w:rPr>
          <w:rFonts w:hint="eastAsia"/>
        </w:rPr>
        <w:t>。</w:t>
      </w:r>
    </w:p>
    <w:p w:rsidR="00C9269F" w:rsidRDefault="00FA574A">
      <w:pPr>
        <w:pStyle w:val="10"/>
        <w:spacing w:beforeLines="50" w:before="156" w:afterLines="50" w:after="156" w:line="400" w:lineRule="atLeast"/>
        <w:contextualSpacing/>
        <w:jc w:val="left"/>
        <w:rPr>
          <w:szCs w:val="24"/>
        </w:rPr>
        <w:sectPr w:rsidR="00C9269F">
          <w:footerReference w:type="default" r:id="rId14"/>
          <w:pgSz w:w="11906" w:h="16838"/>
          <w:pgMar w:top="1440" w:right="1800" w:bottom="1118" w:left="1800" w:header="851" w:footer="992" w:gutter="0"/>
          <w:pgNumType w:start="1"/>
          <w:cols w:space="425"/>
          <w:docGrid w:type="lines" w:linePitch="312"/>
        </w:sectPr>
      </w:pPr>
      <w:r>
        <w:rPr>
          <w:rFonts w:ascii="宋体" w:hAnsi="宋体" w:cs="宋体" w:hint="eastAsia"/>
        </w:rPr>
        <w:t>本文件主要起草人：刘新桃、周玲、</w:t>
      </w:r>
      <w:r>
        <w:rPr>
          <w:rFonts w:hint="eastAsia"/>
          <w:szCs w:val="24"/>
        </w:rPr>
        <w:t>张宪</w:t>
      </w:r>
      <w:r>
        <w:rPr>
          <w:szCs w:val="24"/>
        </w:rPr>
        <w:t>、</w:t>
      </w:r>
      <w:r>
        <w:rPr>
          <w:rFonts w:ascii="宋体" w:hAnsi="宋体" w:cs="宋体" w:hint="eastAsia"/>
        </w:rPr>
        <w:t>彭斯文、</w:t>
      </w:r>
      <w:r>
        <w:rPr>
          <w:rFonts w:hint="eastAsia"/>
          <w:szCs w:val="24"/>
        </w:rPr>
        <w:t>张志成、黄卫、陈戈、罗源、严傲霜、马雪</w:t>
      </w:r>
      <w:r>
        <w:rPr>
          <w:szCs w:val="24"/>
        </w:rPr>
        <w:t>、</w:t>
      </w:r>
      <w:r>
        <w:rPr>
          <w:rFonts w:hint="eastAsia"/>
          <w:szCs w:val="24"/>
        </w:rPr>
        <w:t>敖奇、陈代贵、</w:t>
      </w:r>
      <w:r>
        <w:rPr>
          <w:rFonts w:hint="eastAsia"/>
          <w:color w:val="000000"/>
          <w:szCs w:val="24"/>
        </w:rPr>
        <w:t>袁勇、刘丝雨、</w:t>
      </w:r>
      <w:r>
        <w:rPr>
          <w:rFonts w:hint="eastAsia"/>
          <w:szCs w:val="24"/>
        </w:rPr>
        <w:t>邓岚、孙元学、甘信斌、贺荣华</w:t>
      </w:r>
      <w:r>
        <w:rPr>
          <w:szCs w:val="24"/>
        </w:rPr>
        <w:t>。</w:t>
      </w:r>
    </w:p>
    <w:p w:rsidR="00C9269F" w:rsidRDefault="00FA574A">
      <w:pPr>
        <w:pStyle w:val="10"/>
        <w:spacing w:beforeLines="100" w:before="312" w:afterLines="100" w:after="312"/>
        <w:ind w:firstLineChars="0" w:firstLine="0"/>
        <w:jc w:val="center"/>
        <w:rPr>
          <w:rFonts w:eastAsia="黑体"/>
          <w:szCs w:val="32"/>
        </w:rPr>
      </w:pPr>
      <w:r>
        <w:rPr>
          <w:rFonts w:eastAsia="黑体"/>
          <w:sz w:val="32"/>
          <w:szCs w:val="48"/>
        </w:rPr>
        <w:lastRenderedPageBreak/>
        <w:t>绿色食品</w:t>
      </w:r>
      <w:r>
        <w:rPr>
          <w:rFonts w:eastAsia="黑体" w:hint="eastAsia"/>
          <w:sz w:val="32"/>
          <w:szCs w:val="48"/>
        </w:rPr>
        <w:t>干黄花菜</w:t>
      </w:r>
      <w:r>
        <w:rPr>
          <w:rFonts w:eastAsia="黑体"/>
          <w:sz w:val="32"/>
          <w:szCs w:val="48"/>
        </w:rPr>
        <w:t>生产操作规程</w:t>
      </w:r>
    </w:p>
    <w:p w:rsidR="00C9269F" w:rsidRDefault="00FA574A">
      <w:pPr>
        <w:pStyle w:val="1"/>
      </w:pPr>
      <w:r>
        <w:t>1 范围</w:t>
      </w:r>
    </w:p>
    <w:p w:rsidR="00C9269F" w:rsidRDefault="00FA574A">
      <w:pPr>
        <w:ind w:firstLine="420"/>
      </w:pPr>
      <w:r>
        <w:rPr>
          <w:rFonts w:hint="eastAsia"/>
          <w:lang w:bidi="ar"/>
        </w:rPr>
        <w:t>本文件规定了</w:t>
      </w:r>
      <w:r>
        <w:t>绿色食品</w:t>
      </w:r>
      <w:r>
        <w:rPr>
          <w:rFonts w:hint="eastAsia"/>
        </w:rPr>
        <w:t>干黄花菜</w:t>
      </w:r>
      <w:r>
        <w:t>的产地环境、品种选择、</w:t>
      </w:r>
      <w:r>
        <w:rPr>
          <w:rFonts w:hint="eastAsia"/>
        </w:rPr>
        <w:t>种苗处理、</w:t>
      </w:r>
      <w:r>
        <w:t>整地、播种、田间管理、采收与加工、运输储藏</w:t>
      </w:r>
      <w:r>
        <w:rPr>
          <w:rFonts w:hint="eastAsia"/>
        </w:rPr>
        <w:t>、</w:t>
      </w:r>
      <w:r>
        <w:t>生产废弃物的处理及生产档案管理。</w:t>
      </w:r>
    </w:p>
    <w:p w:rsidR="00C9269F" w:rsidRDefault="00FA574A">
      <w:pPr>
        <w:ind w:firstLine="420"/>
      </w:pPr>
      <w:r>
        <w:t>本</w:t>
      </w:r>
      <w:r>
        <w:rPr>
          <w:rFonts w:hint="eastAsia"/>
        </w:rPr>
        <w:t>文件</w:t>
      </w:r>
      <w:r>
        <w:t>适用于</w:t>
      </w:r>
      <w:r>
        <w:rPr>
          <w:rFonts w:hint="eastAsia"/>
        </w:rPr>
        <w:t>山西、湖南等地方</w:t>
      </w:r>
      <w:r>
        <w:t>绿色食品</w:t>
      </w:r>
      <w:r>
        <w:rPr>
          <w:rFonts w:hint="eastAsia"/>
        </w:rPr>
        <w:t>干黄花菜</w:t>
      </w:r>
      <w:r>
        <w:t>的生产。</w:t>
      </w:r>
    </w:p>
    <w:p w:rsidR="00C9269F" w:rsidRDefault="00FA574A">
      <w:pPr>
        <w:pStyle w:val="1"/>
      </w:pPr>
      <w:r>
        <w:t>2 规范性引用文件</w:t>
      </w:r>
    </w:p>
    <w:p w:rsidR="00C9269F" w:rsidRDefault="00FA574A">
      <w:pPr>
        <w:ind w:firstLine="420"/>
      </w:pPr>
      <w:r>
        <w:rPr>
          <w:rFonts w:hint="eastAsia"/>
        </w:rPr>
        <w:t>下列文件中的内容通过文中的规范性引用而构成本文件必不可少的条款。其中，注日期的引用文件，仅该日期的版本适用于本文件。不注日期的引用文件，其最新版本（包括所有的修改单）适用于本文件。</w:t>
      </w:r>
    </w:p>
    <w:p w:rsidR="00C9269F" w:rsidRDefault="00FA574A">
      <w:pPr>
        <w:ind w:firstLine="420"/>
      </w:pPr>
      <w:r>
        <w:rPr>
          <w:rFonts w:hint="eastAsia"/>
        </w:rPr>
        <w:t xml:space="preserve">NY/T 391  </w:t>
      </w:r>
      <w:r>
        <w:rPr>
          <w:rFonts w:hint="eastAsia"/>
        </w:rPr>
        <w:t>绿色食品产地环境质量</w:t>
      </w:r>
    </w:p>
    <w:p w:rsidR="00C9269F" w:rsidRDefault="00FA574A">
      <w:pPr>
        <w:ind w:firstLine="420"/>
      </w:pPr>
      <w:r>
        <w:t xml:space="preserve">NY/T 393  </w:t>
      </w:r>
      <w:r>
        <w:t>绿色食品农药使用准则</w:t>
      </w:r>
    </w:p>
    <w:p w:rsidR="00C9269F" w:rsidRDefault="00FA574A">
      <w:pPr>
        <w:ind w:firstLine="420"/>
      </w:pPr>
      <w:r>
        <w:t xml:space="preserve">NY/T 394  </w:t>
      </w:r>
      <w:r>
        <w:t>绿色食品肥料使用准则</w:t>
      </w:r>
    </w:p>
    <w:p w:rsidR="00C9269F" w:rsidRDefault="00FA574A">
      <w:pPr>
        <w:ind w:firstLine="420"/>
      </w:pPr>
      <w:r>
        <w:t xml:space="preserve">NY/T 658  </w:t>
      </w:r>
      <w:r>
        <w:t>绿色食品包装通用准则</w:t>
      </w:r>
    </w:p>
    <w:p w:rsidR="00C9269F" w:rsidRDefault="00FA574A">
      <w:pPr>
        <w:ind w:firstLine="420"/>
      </w:pPr>
      <w:bookmarkStart w:id="2" w:name="OLE_LINK17"/>
      <w:r>
        <w:t>NY/T 1056</w:t>
      </w:r>
      <w:bookmarkEnd w:id="2"/>
      <w:r>
        <w:t xml:space="preserve">  </w:t>
      </w:r>
      <w:r>
        <w:t>绿色食品储藏运输准则</w:t>
      </w:r>
    </w:p>
    <w:p w:rsidR="00C9269F" w:rsidRDefault="00FA574A">
      <w:pPr>
        <w:pStyle w:val="1"/>
      </w:pPr>
      <w:r>
        <w:t>3 产地环境</w:t>
      </w:r>
    </w:p>
    <w:p w:rsidR="00C9269F" w:rsidRDefault="00FA574A">
      <w:pPr>
        <w:ind w:firstLine="420"/>
      </w:pPr>
      <w:r>
        <w:t>应符合</w:t>
      </w:r>
      <w:r>
        <w:t>NY/T 391</w:t>
      </w:r>
      <w:r>
        <w:rPr>
          <w:rFonts w:hint="eastAsia"/>
        </w:rPr>
        <w:t>的</w:t>
      </w:r>
      <w:r>
        <w:rPr>
          <w:rFonts w:hAnsi="宋体" w:hint="eastAsia"/>
        </w:rPr>
        <w:t>规定。绿色食品</w:t>
      </w:r>
      <w:r>
        <w:rPr>
          <w:rFonts w:hint="eastAsia"/>
        </w:rPr>
        <w:t>黄花菜生产应选择生态环境良好、无污染的地区，远离工矿区、</w:t>
      </w:r>
      <w:r>
        <w:rPr>
          <w:rFonts w:hint="eastAsia"/>
          <w:lang w:bidi="ar"/>
        </w:rPr>
        <w:t>公路铁路干线和生活区</w:t>
      </w:r>
      <w:r>
        <w:rPr>
          <w:rFonts w:hint="eastAsia"/>
        </w:rPr>
        <w:t>，避开污染源。</w:t>
      </w:r>
      <w:r>
        <w:t>选</w:t>
      </w:r>
      <w:r>
        <w:rPr>
          <w:rFonts w:hint="eastAsia"/>
        </w:rPr>
        <w:t>用</w:t>
      </w:r>
      <w:r>
        <w:t>土层深厚、土质疏松、坡度缓、光照充足和灌溉条件好的土地种植。</w:t>
      </w:r>
    </w:p>
    <w:p w:rsidR="00C9269F" w:rsidRDefault="00FA574A">
      <w:pPr>
        <w:pStyle w:val="1"/>
      </w:pPr>
      <w:r>
        <w:t>4 品种选择</w:t>
      </w:r>
    </w:p>
    <w:p w:rsidR="00C9269F" w:rsidRDefault="00FA574A">
      <w:pPr>
        <w:ind w:firstLine="420"/>
      </w:pPr>
      <w:r>
        <w:t>选择优质、高产、抗逆性强、适宜当地气候和栽培模式的株丛紧凑</w:t>
      </w:r>
      <w:r>
        <w:rPr>
          <w:rFonts w:hint="eastAsia"/>
        </w:rPr>
        <w:t>、</w:t>
      </w:r>
      <w:r>
        <w:t>抽苔率高、采蕾期长的优良品种。</w:t>
      </w:r>
    </w:p>
    <w:p w:rsidR="00C9269F" w:rsidRDefault="00FA574A">
      <w:pPr>
        <w:pStyle w:val="1"/>
      </w:pPr>
      <w:r>
        <w:rPr>
          <w:rFonts w:hint="eastAsia"/>
        </w:rPr>
        <w:t>5</w:t>
      </w:r>
      <w:r>
        <w:t xml:space="preserve"> 种苗处理</w:t>
      </w:r>
    </w:p>
    <w:p w:rsidR="00C9269F" w:rsidRDefault="00FA574A">
      <w:pPr>
        <w:ind w:firstLine="420"/>
      </w:pPr>
      <w:r>
        <w:t>在播种前，将短缩茎下部黑根和纺锤形肉质根剪除，其它肉质根剪短至</w:t>
      </w:r>
      <w:r>
        <w:t>5 cm</w:t>
      </w:r>
      <w:r>
        <w:t>～</w:t>
      </w:r>
      <w:r>
        <w:t>7 cm</w:t>
      </w:r>
      <w:r>
        <w:t>，并清除朽根残叶，苗叶剪短</w:t>
      </w:r>
      <w:r>
        <w:rPr>
          <w:rFonts w:hint="eastAsia"/>
        </w:rPr>
        <w:t>至</w:t>
      </w:r>
      <w:r>
        <w:t>6 cm</w:t>
      </w:r>
      <w:r>
        <w:t>～</w:t>
      </w:r>
      <w:r>
        <w:t>7 cm</w:t>
      </w:r>
      <w:r>
        <w:t>。种苗修剪以后，摊开晾干。宜边起苗边栽种，需次日定植的种苗堆放厚度不超过</w:t>
      </w:r>
      <w:r>
        <w:t>20cm</w:t>
      </w:r>
      <w:r>
        <w:t>。</w:t>
      </w:r>
    </w:p>
    <w:p w:rsidR="00C9269F" w:rsidRDefault="00FA574A">
      <w:pPr>
        <w:pStyle w:val="1"/>
      </w:pPr>
      <w:r>
        <w:rPr>
          <w:rFonts w:hint="eastAsia"/>
        </w:rPr>
        <w:t>6</w:t>
      </w:r>
      <w:r>
        <w:t xml:space="preserve"> 整地、播种</w:t>
      </w:r>
    </w:p>
    <w:p w:rsidR="00C9269F" w:rsidRDefault="00FA574A">
      <w:pPr>
        <w:pStyle w:val="2"/>
      </w:pPr>
      <w:r>
        <w:rPr>
          <w:rFonts w:hint="eastAsia"/>
        </w:rPr>
        <w:t>6</w:t>
      </w:r>
      <w:r>
        <w:t>.1 整地施肥</w:t>
      </w:r>
    </w:p>
    <w:p w:rsidR="00C9269F" w:rsidRDefault="00FA574A">
      <w:pPr>
        <w:ind w:firstLine="420"/>
      </w:pPr>
      <w:r>
        <w:t>整地前，应做好田园清洁。土壤</w:t>
      </w:r>
      <w:r>
        <w:t>pH</w:t>
      </w:r>
      <w:r>
        <w:t>值小于</w:t>
      </w:r>
      <w:r>
        <w:t>5.5</w:t>
      </w:r>
      <w:r>
        <w:t>时，每亩增施生石灰</w:t>
      </w:r>
      <w:r>
        <w:rPr>
          <w:rFonts w:hint="eastAsia"/>
        </w:rPr>
        <w:t>10</w:t>
      </w:r>
      <w:r>
        <w:t>0 kg</w:t>
      </w:r>
      <w:r>
        <w:t>～</w:t>
      </w:r>
      <w:r>
        <w:rPr>
          <w:rFonts w:hint="eastAsia"/>
        </w:rPr>
        <w:t>15</w:t>
      </w:r>
      <w:r>
        <w:t>0 kg</w:t>
      </w:r>
      <w:r>
        <w:t>，于种植</w:t>
      </w:r>
      <w:r>
        <w:t>7</w:t>
      </w:r>
      <w:r>
        <w:rPr>
          <w:rFonts w:hint="eastAsia"/>
        </w:rPr>
        <w:t>d</w:t>
      </w:r>
      <w:r>
        <w:t>前施入深翻，深耕</w:t>
      </w:r>
      <w:r>
        <w:t>30 cm</w:t>
      </w:r>
      <w:bookmarkStart w:id="3" w:name="OLE_LINK8"/>
      <w:r>
        <w:t>～</w:t>
      </w:r>
      <w:bookmarkEnd w:id="3"/>
      <w:r>
        <w:t>35 cm</w:t>
      </w:r>
      <w:r>
        <w:t>，耕细整平。</w:t>
      </w:r>
    </w:p>
    <w:p w:rsidR="00C9269F" w:rsidRDefault="00FA574A">
      <w:pPr>
        <w:ind w:firstLine="420"/>
      </w:pPr>
      <w:r>
        <w:t>肥料施用应符合</w:t>
      </w:r>
      <w:r>
        <w:t>NY/T</w:t>
      </w:r>
      <w:r>
        <w:rPr>
          <w:rFonts w:hint="eastAsia"/>
        </w:rPr>
        <w:t xml:space="preserve"> </w:t>
      </w:r>
      <w:r>
        <w:t>394</w:t>
      </w:r>
      <w:r>
        <w:t>的有关规定。栽种前</w:t>
      </w:r>
      <w:r>
        <w:rPr>
          <w:rFonts w:hint="eastAsia"/>
        </w:rPr>
        <w:t>每</w:t>
      </w:r>
      <w:r>
        <w:t>亩施商品有机肥</w:t>
      </w:r>
      <w:r>
        <w:rPr>
          <w:rFonts w:hint="eastAsia"/>
        </w:rPr>
        <w:t>6</w:t>
      </w:r>
      <w:r>
        <w:t>00 kg</w:t>
      </w:r>
      <w:r>
        <w:t>～</w:t>
      </w:r>
      <w:r>
        <w:rPr>
          <w:rFonts w:hint="eastAsia"/>
        </w:rPr>
        <w:t>8</w:t>
      </w:r>
      <w:r>
        <w:t>00 kg</w:t>
      </w:r>
      <w:r>
        <w:t>或农家肥</w:t>
      </w:r>
      <w:bookmarkStart w:id="4" w:name="OLE_LINK29"/>
      <w:bookmarkStart w:id="5" w:name="OLE_LINK30"/>
      <w:r>
        <w:t>2000 kg</w:t>
      </w:r>
      <w:r>
        <w:t>～</w:t>
      </w:r>
      <w:r>
        <w:t>2500 kg</w:t>
      </w:r>
      <w:bookmarkEnd w:id="4"/>
      <w:bookmarkEnd w:id="5"/>
      <w:r>
        <w:t>、复合肥（</w:t>
      </w:r>
      <w:r>
        <w:t>15</w:t>
      </w:r>
      <w:r>
        <w:rPr>
          <w:rFonts w:hint="eastAsia"/>
        </w:rPr>
        <w:t>-</w:t>
      </w:r>
      <w:r>
        <w:t>15</w:t>
      </w:r>
      <w:r>
        <w:rPr>
          <w:rFonts w:hint="eastAsia"/>
        </w:rPr>
        <w:t>-</w:t>
      </w:r>
      <w:r>
        <w:t>15</w:t>
      </w:r>
      <w:r>
        <w:t>）</w:t>
      </w:r>
      <w:r>
        <w:rPr>
          <w:rFonts w:hint="eastAsia"/>
        </w:rPr>
        <w:t>2</w:t>
      </w:r>
      <w:r>
        <w:t>0 kg</w:t>
      </w:r>
      <w:r>
        <w:t>～</w:t>
      </w:r>
      <w:r>
        <w:rPr>
          <w:rFonts w:hint="eastAsia"/>
        </w:rPr>
        <w:t>3</w:t>
      </w:r>
      <w:r>
        <w:t>0 kg</w:t>
      </w:r>
      <w:r>
        <w:t>，硫酸镁</w:t>
      </w:r>
      <w:r>
        <w:t>5</w:t>
      </w:r>
      <w:r>
        <w:rPr>
          <w:rFonts w:hint="eastAsia"/>
        </w:rPr>
        <w:t xml:space="preserve"> </w:t>
      </w:r>
      <w:r>
        <w:t>kg</w:t>
      </w:r>
      <w:r>
        <w:t>～</w:t>
      </w:r>
      <w:r>
        <w:t>10</w:t>
      </w:r>
      <w:r>
        <w:rPr>
          <w:rFonts w:hint="eastAsia"/>
        </w:rPr>
        <w:t xml:space="preserve"> </w:t>
      </w:r>
      <w:r>
        <w:t>kg</w:t>
      </w:r>
      <w:r>
        <w:t>，并全面深翻入土。宜采用高垄种植，平地四周应开</w:t>
      </w:r>
      <w:r>
        <w:t>40 cm</w:t>
      </w:r>
      <w:bookmarkStart w:id="6" w:name="OLE_LINK5"/>
      <w:bookmarkStart w:id="7" w:name="OLE_LINK45"/>
      <w:bookmarkStart w:id="8" w:name="OLE_LINK7"/>
      <w:r>
        <w:t>～</w:t>
      </w:r>
      <w:bookmarkEnd w:id="6"/>
      <w:bookmarkEnd w:id="7"/>
      <w:bookmarkEnd w:id="8"/>
      <w:r>
        <w:t>60 cm</w:t>
      </w:r>
      <w:r>
        <w:t>深排水沟。</w:t>
      </w:r>
    </w:p>
    <w:p w:rsidR="00C9269F" w:rsidRDefault="00FA574A">
      <w:pPr>
        <w:pStyle w:val="2"/>
      </w:pPr>
      <w:r>
        <w:rPr>
          <w:rFonts w:hint="eastAsia"/>
        </w:rPr>
        <w:lastRenderedPageBreak/>
        <w:t>6</w:t>
      </w:r>
      <w:r>
        <w:t>.2 播种栽植</w:t>
      </w:r>
    </w:p>
    <w:p w:rsidR="00C9269F" w:rsidRDefault="00FA574A">
      <w:pPr>
        <w:pStyle w:val="3"/>
      </w:pPr>
      <w:r>
        <w:rPr>
          <w:rFonts w:hint="eastAsia"/>
        </w:rPr>
        <w:t>6</w:t>
      </w:r>
      <w:r>
        <w:t>.2.1 时期</w:t>
      </w:r>
    </w:p>
    <w:p w:rsidR="00C9269F" w:rsidRDefault="00FA574A">
      <w:pPr>
        <w:ind w:firstLine="420"/>
      </w:pPr>
      <w:r>
        <w:t>9</w:t>
      </w:r>
      <w:r>
        <w:t>月～翌年</w:t>
      </w:r>
      <w:r>
        <w:rPr>
          <w:rFonts w:hint="eastAsia"/>
        </w:rPr>
        <w:t>4</w:t>
      </w:r>
      <w:r>
        <w:t>月出苗前均可移栽，</w:t>
      </w:r>
      <w:r>
        <w:t>9</w:t>
      </w:r>
      <w:r>
        <w:t>月下旬～</w:t>
      </w:r>
      <w:r>
        <w:t>11</w:t>
      </w:r>
      <w:r>
        <w:t>月初阴天</w:t>
      </w:r>
      <w:r>
        <w:rPr>
          <w:rFonts w:hint="eastAsia"/>
        </w:rPr>
        <w:t>为</w:t>
      </w:r>
      <w:r>
        <w:t>佳。</w:t>
      </w:r>
    </w:p>
    <w:p w:rsidR="00C9269F" w:rsidRDefault="00FA574A">
      <w:pPr>
        <w:pStyle w:val="3"/>
      </w:pPr>
      <w:r>
        <w:rPr>
          <w:rFonts w:hint="eastAsia"/>
        </w:rPr>
        <w:t>6</w:t>
      </w:r>
      <w:r>
        <w:t>.2.2 密度</w:t>
      </w:r>
    </w:p>
    <w:p w:rsidR="00C9269F" w:rsidRDefault="00FA574A">
      <w:pPr>
        <w:ind w:firstLine="420"/>
      </w:pPr>
      <w:r>
        <w:t>宽窄行种植（宽行</w:t>
      </w:r>
      <w:r>
        <w:t>100 cm</w:t>
      </w:r>
      <w:r>
        <w:t>、窄行</w:t>
      </w:r>
      <w:r>
        <w:t>70 cm</w:t>
      </w:r>
      <w:r>
        <w:t>，穴距</w:t>
      </w:r>
      <w:r>
        <w:t>40 cm</w:t>
      </w:r>
      <w:r>
        <w:t>），亩栽</w:t>
      </w:r>
      <w:r>
        <w:t>1800</w:t>
      </w:r>
      <w:r>
        <w:t>穴</w:t>
      </w:r>
      <w:r>
        <w:rPr>
          <w:rFonts w:hint="eastAsia"/>
        </w:rPr>
        <w:t>左右</w:t>
      </w:r>
      <w:r>
        <w:t>，每穴</w:t>
      </w:r>
      <w:r>
        <w:t>2</w:t>
      </w:r>
      <w:r>
        <w:t>株</w:t>
      </w:r>
      <w:r>
        <w:rPr>
          <w:rFonts w:hint="eastAsia"/>
        </w:rPr>
        <w:t>～</w:t>
      </w:r>
      <w:r>
        <w:t>3</w:t>
      </w:r>
      <w:r>
        <w:t>株；或等行距种植（行距</w:t>
      </w:r>
      <w:r>
        <w:t>75 cm</w:t>
      </w:r>
      <w:r>
        <w:t>～</w:t>
      </w:r>
      <w:r>
        <w:t>85 cm</w:t>
      </w:r>
      <w:r>
        <w:t>，穴距</w:t>
      </w:r>
      <w:bookmarkStart w:id="9" w:name="OLE_LINK9"/>
      <w:r>
        <w:t>45 cm</w:t>
      </w:r>
      <w:r>
        <w:t>～</w:t>
      </w:r>
      <w:r>
        <w:t>50 cm</w:t>
      </w:r>
      <w:bookmarkEnd w:id="9"/>
      <w:r>
        <w:t>）。</w:t>
      </w:r>
    </w:p>
    <w:p w:rsidR="00C9269F" w:rsidRDefault="00FA574A">
      <w:pPr>
        <w:pStyle w:val="3"/>
      </w:pPr>
      <w:r>
        <w:rPr>
          <w:rFonts w:hint="eastAsia"/>
        </w:rPr>
        <w:t>6</w:t>
      </w:r>
      <w:r>
        <w:t>.2.3 方式</w:t>
      </w:r>
    </w:p>
    <w:p w:rsidR="00C9269F" w:rsidRDefault="00FA574A">
      <w:pPr>
        <w:ind w:firstLine="420"/>
      </w:pPr>
      <w:bookmarkStart w:id="10" w:name="OLE_LINK33"/>
      <w:r>
        <w:t>采用分株繁殖法：将母株丛全部挖起，重新分栽；或将母株丛的一侧挖出作种苗，留下的让其继续生长。宜适当深植，定植深度为</w:t>
      </w:r>
      <w:r>
        <w:t>4cm</w:t>
      </w:r>
      <w:r>
        <w:t>～</w:t>
      </w:r>
      <w:r>
        <w:t>5cm</w:t>
      </w:r>
      <w:r>
        <w:t>，植后浇定根水，秋栽发苗前应保持土壤湿润。</w:t>
      </w:r>
      <w:bookmarkEnd w:id="10"/>
    </w:p>
    <w:p w:rsidR="00C9269F" w:rsidRDefault="00FA574A">
      <w:pPr>
        <w:pStyle w:val="1"/>
        <w:rPr>
          <w:kern w:val="2"/>
          <w:szCs w:val="22"/>
        </w:rPr>
      </w:pPr>
      <w:r>
        <w:rPr>
          <w:rFonts w:hint="eastAsia"/>
        </w:rPr>
        <w:t>7</w:t>
      </w:r>
      <w:r>
        <w:t xml:space="preserve"> 田间管理 </w:t>
      </w:r>
    </w:p>
    <w:p w:rsidR="00C9269F" w:rsidRDefault="00FA574A">
      <w:pPr>
        <w:pStyle w:val="2"/>
      </w:pPr>
      <w:r>
        <w:rPr>
          <w:rFonts w:hint="eastAsia"/>
        </w:rPr>
        <w:t>7</w:t>
      </w:r>
      <w:r>
        <w:t>.1 春苗管理</w:t>
      </w:r>
    </w:p>
    <w:p w:rsidR="00C9269F" w:rsidRDefault="00FA574A">
      <w:pPr>
        <w:ind w:firstLine="420"/>
      </w:pPr>
      <w:r>
        <w:rPr>
          <w:rFonts w:hint="eastAsia"/>
        </w:rPr>
        <w:t>苗期应保持土壤相对含水量在</w:t>
      </w:r>
      <w:r>
        <w:rPr>
          <w:rFonts w:hint="eastAsia"/>
        </w:rPr>
        <w:t>60%~70%</w:t>
      </w:r>
      <w:r>
        <w:rPr>
          <w:rFonts w:hint="eastAsia"/>
        </w:rPr>
        <w:t>之间。浇水时要浇透，等土壤快干时再次浇水。尽早施肥，可以采用穴施或沟施的方法，每亩施尿素</w:t>
      </w:r>
      <w:r>
        <w:rPr>
          <w:rFonts w:hint="eastAsia"/>
        </w:rPr>
        <w:t>10 kg~15 kg</w:t>
      </w:r>
      <w:r>
        <w:rPr>
          <w:rFonts w:hint="eastAsia"/>
        </w:rPr>
        <w:t>。苗期肥水管理结合中耕除草进行，中耕深度约为</w:t>
      </w:r>
      <w:r>
        <w:rPr>
          <w:rFonts w:hint="eastAsia"/>
        </w:rPr>
        <w:t>10 cm</w:t>
      </w:r>
      <w:r>
        <w:rPr>
          <w:rFonts w:hint="eastAsia"/>
        </w:rPr>
        <w:t>，避免伤苗，需中耕除草</w:t>
      </w:r>
      <w:r>
        <w:rPr>
          <w:rFonts w:hint="eastAsia"/>
        </w:rPr>
        <w:t>1</w:t>
      </w:r>
      <w:r>
        <w:rPr>
          <w:rFonts w:hint="eastAsia"/>
        </w:rPr>
        <w:t>次</w:t>
      </w:r>
      <w:r>
        <w:rPr>
          <w:rFonts w:hint="eastAsia"/>
        </w:rPr>
        <w:t>~2</w:t>
      </w:r>
      <w:r>
        <w:rPr>
          <w:rFonts w:hint="eastAsia"/>
        </w:rPr>
        <w:t>次</w:t>
      </w:r>
      <w:r>
        <w:t>。</w:t>
      </w:r>
    </w:p>
    <w:p w:rsidR="00C9269F" w:rsidRDefault="00FA574A">
      <w:pPr>
        <w:pStyle w:val="2"/>
      </w:pPr>
      <w:r>
        <w:rPr>
          <w:rFonts w:hint="eastAsia"/>
        </w:rPr>
        <w:t>7</w:t>
      </w:r>
      <w:r>
        <w:t>.2 薹期管理</w:t>
      </w:r>
    </w:p>
    <w:p w:rsidR="00C9269F" w:rsidRDefault="00FA574A">
      <w:pPr>
        <w:ind w:firstLine="420"/>
      </w:pPr>
      <w:r>
        <w:rPr>
          <w:rFonts w:hint="eastAsia"/>
        </w:rPr>
        <w:t>在抽薹期应充分浇水，使土壤保持湿润状态，一般每周浇水一次。同时，抽薹期需要进行追肥，</w:t>
      </w:r>
      <w:r>
        <w:t>在花薹开始分化和花薹开始抽出时，各施一次肥水，每亩施复合肥（</w:t>
      </w:r>
      <w:r>
        <w:rPr>
          <w:rFonts w:hint="eastAsia"/>
        </w:rPr>
        <w:t>15-15-15</w:t>
      </w:r>
      <w:r>
        <w:t>）</w:t>
      </w:r>
      <w:r>
        <w:t>1</w:t>
      </w:r>
      <w:r>
        <w:rPr>
          <w:rFonts w:hint="eastAsia"/>
        </w:rPr>
        <w:t xml:space="preserve">0 </w:t>
      </w:r>
      <w:r>
        <w:t>kg</w:t>
      </w:r>
      <w:r>
        <w:rPr>
          <w:rFonts w:hint="eastAsia"/>
        </w:rPr>
        <w:t>~15 kg</w:t>
      </w:r>
      <w:r>
        <w:t>，并结合中耕除草进行培土。</w:t>
      </w:r>
    </w:p>
    <w:p w:rsidR="00C9269F" w:rsidRDefault="00FA574A">
      <w:pPr>
        <w:pStyle w:val="2"/>
      </w:pPr>
      <w:r>
        <w:rPr>
          <w:rFonts w:hint="eastAsia"/>
        </w:rPr>
        <w:t>7</w:t>
      </w:r>
      <w:r>
        <w:t>.3 蕾期管理</w:t>
      </w:r>
    </w:p>
    <w:p w:rsidR="00C9269F" w:rsidRDefault="00FA574A">
      <w:pPr>
        <w:ind w:firstLine="420"/>
      </w:pPr>
      <w:r>
        <w:rPr>
          <w:rFonts w:hint="eastAsia"/>
        </w:rPr>
        <w:t>浇灌要根据雨水情况而定，保持土壤湿润。</w:t>
      </w:r>
      <w:r>
        <w:t>施蕾肥，整个采蕾期间，视植株营养状况，可进行多次少量根部施肥，每亩每次施氮磷钾复合肥</w:t>
      </w:r>
      <w:r>
        <w:t>5kg</w:t>
      </w:r>
      <w:r>
        <w:t>为宜。</w:t>
      </w:r>
      <w:r>
        <w:rPr>
          <w:rFonts w:hint="eastAsia"/>
        </w:rPr>
        <w:t>雨季务必保证排水畅通，严防田间积水导致烂根。抽薹期和现蕾期遇干旱应及时灌溉，保持土壤湿润。但采收期避免大水漫灌，以免引发病害和影响采摘。灌水宜在傍晚或清晨进行。</w:t>
      </w:r>
    </w:p>
    <w:p w:rsidR="00C9269F" w:rsidRDefault="00FA574A">
      <w:pPr>
        <w:pStyle w:val="2"/>
      </w:pPr>
      <w:r>
        <w:rPr>
          <w:rFonts w:hint="eastAsia"/>
        </w:rPr>
        <w:t>7</w:t>
      </w:r>
      <w:r>
        <w:t>.4 冬苗管理</w:t>
      </w:r>
    </w:p>
    <w:p w:rsidR="00C9269F" w:rsidRDefault="00FA574A">
      <w:pPr>
        <w:ind w:firstLine="420"/>
      </w:pPr>
      <w:r>
        <w:t>当秋季花蕾采收完后，立即将老叶、枯薹于离地面</w:t>
      </w:r>
      <w:r>
        <w:t>3cm</w:t>
      </w:r>
      <w:r>
        <w:t>～</w:t>
      </w:r>
      <w:r>
        <w:t>4cm</w:t>
      </w:r>
      <w:r>
        <w:t>处割除，行间深耕</w:t>
      </w:r>
      <w:r>
        <w:t>30cm</w:t>
      </w:r>
      <w:r>
        <w:t>，结合深耕每亩施腐熟有机肥</w:t>
      </w:r>
      <w:r>
        <w:t>1000kg</w:t>
      </w:r>
      <w:r>
        <w:t>～</w:t>
      </w:r>
      <w:r>
        <w:t>2000kg</w:t>
      </w:r>
      <w:r>
        <w:rPr>
          <w:rFonts w:hint="eastAsia"/>
        </w:rPr>
        <w:t>，</w:t>
      </w:r>
      <w:r>
        <w:t>或商品有机肥</w:t>
      </w:r>
      <w:r>
        <w:rPr>
          <w:rFonts w:hint="eastAsia"/>
        </w:rPr>
        <w:t>6</w:t>
      </w:r>
      <w:r>
        <w:t>00kg</w:t>
      </w:r>
      <w:r>
        <w:rPr>
          <w:rFonts w:hint="eastAsia"/>
        </w:rPr>
        <w:t>和</w:t>
      </w:r>
      <w:r>
        <w:t>氮磷钾复合肥</w:t>
      </w:r>
      <w:r>
        <w:t>20kg</w:t>
      </w:r>
      <w:r>
        <w:t>。冬苗枯死后，用</w:t>
      </w:r>
      <w:r>
        <w:rPr>
          <w:rFonts w:hint="eastAsia"/>
        </w:rPr>
        <w:t>厩肥与细土拌合草木灰壅篼。</w:t>
      </w:r>
    </w:p>
    <w:p w:rsidR="00C9269F" w:rsidRDefault="00FA574A">
      <w:pPr>
        <w:pStyle w:val="2"/>
      </w:pPr>
      <w:r>
        <w:rPr>
          <w:rFonts w:hint="eastAsia"/>
        </w:rPr>
        <w:t>7</w:t>
      </w:r>
      <w:r>
        <w:t>.5 病虫害防治</w:t>
      </w:r>
    </w:p>
    <w:p w:rsidR="00C9269F" w:rsidRDefault="00FA574A">
      <w:pPr>
        <w:pStyle w:val="3"/>
      </w:pPr>
      <w:r>
        <w:rPr>
          <w:rFonts w:hint="eastAsia"/>
        </w:rPr>
        <w:t>7</w:t>
      </w:r>
      <w:r>
        <w:t>.5.1 防治原则</w:t>
      </w:r>
    </w:p>
    <w:p w:rsidR="00C9269F" w:rsidRDefault="00FA574A">
      <w:pPr>
        <w:ind w:firstLine="420"/>
      </w:pPr>
      <w:r>
        <w:rPr>
          <w:rFonts w:hint="eastAsia"/>
        </w:rPr>
        <w:t>坚持“预防为主，综合防治”的原则，采取农业防治、物理防治、生物防治为主，化学防治为辅的方式进行。药剂选应符合</w:t>
      </w:r>
      <w:r>
        <w:rPr>
          <w:rFonts w:hint="eastAsia"/>
        </w:rPr>
        <w:t>NY/T 393</w:t>
      </w:r>
      <w:r>
        <w:rPr>
          <w:rFonts w:hint="eastAsia"/>
        </w:rPr>
        <w:t>的规定，严格掌握安全间隔期。</w:t>
      </w:r>
    </w:p>
    <w:p w:rsidR="00C9269F" w:rsidRDefault="00FA574A">
      <w:pPr>
        <w:pStyle w:val="3"/>
      </w:pPr>
      <w:r>
        <w:rPr>
          <w:rFonts w:hint="eastAsia"/>
        </w:rPr>
        <w:t>7</w:t>
      </w:r>
      <w:r>
        <w:t>.5.2 常见病害</w:t>
      </w:r>
    </w:p>
    <w:p w:rsidR="00C9269F" w:rsidRDefault="00FA574A">
      <w:pPr>
        <w:ind w:firstLine="420"/>
      </w:pPr>
      <w:r>
        <w:rPr>
          <w:rFonts w:hint="eastAsia"/>
        </w:rPr>
        <w:t>主要</w:t>
      </w:r>
      <w:r>
        <w:t>病害</w:t>
      </w:r>
      <w:r>
        <w:rPr>
          <w:rFonts w:hint="eastAsia"/>
        </w:rPr>
        <w:t>有</w:t>
      </w:r>
      <w:r>
        <w:t>根腐病、锈病、叶斑病、叶枯病、</w:t>
      </w:r>
      <w:r>
        <w:rPr>
          <w:rFonts w:hint="eastAsia"/>
        </w:rPr>
        <w:t>炭疽</w:t>
      </w:r>
      <w:r>
        <w:t>病等。</w:t>
      </w:r>
    </w:p>
    <w:p w:rsidR="00C9269F" w:rsidRDefault="00FA574A">
      <w:pPr>
        <w:ind w:firstLine="420"/>
      </w:pPr>
      <w:r>
        <w:lastRenderedPageBreak/>
        <w:t>主要虫害</w:t>
      </w:r>
      <w:r>
        <w:rPr>
          <w:rFonts w:hint="eastAsia"/>
        </w:rPr>
        <w:t>有</w:t>
      </w:r>
      <w:r>
        <w:t>蚜虫、红蜘蛛、</w:t>
      </w:r>
      <w:r>
        <w:rPr>
          <w:rFonts w:hint="eastAsia"/>
        </w:rPr>
        <w:t>蓟马、</w:t>
      </w:r>
      <w:r>
        <w:t>粉虱、蛴螬、小地老虎等</w:t>
      </w:r>
      <w:r>
        <w:rPr>
          <w:rFonts w:hint="eastAsia"/>
        </w:rPr>
        <w:t>。</w:t>
      </w:r>
    </w:p>
    <w:p w:rsidR="00C9269F" w:rsidRDefault="00FA574A">
      <w:pPr>
        <w:pStyle w:val="3"/>
      </w:pPr>
      <w:r>
        <w:rPr>
          <w:rFonts w:hint="eastAsia"/>
        </w:rPr>
        <w:t>7</w:t>
      </w:r>
      <w:r>
        <w:t>.5.3 防治措施</w:t>
      </w:r>
    </w:p>
    <w:p w:rsidR="00C9269F" w:rsidRDefault="00FA574A">
      <w:pPr>
        <w:pStyle w:val="4"/>
      </w:pPr>
      <w:r>
        <w:rPr>
          <w:rFonts w:hint="eastAsia"/>
        </w:rPr>
        <w:t>7</w:t>
      </w:r>
      <w:r>
        <w:t>.5.3.1 农业防治</w:t>
      </w:r>
    </w:p>
    <w:p w:rsidR="00C9269F" w:rsidRDefault="00FA574A">
      <w:pPr>
        <w:ind w:firstLine="420"/>
      </w:pPr>
      <w:r>
        <w:t>选用抗病虫优良品种。及时更新老龄株丛，提高植株抗病能力。合理轮作，连续种植黄花菜</w:t>
      </w:r>
      <w:r>
        <w:t>5</w:t>
      </w:r>
      <w:r>
        <w:t>年以上的田块，可进行水旱轮作。加强秋冬季培育壮苗，提高抗逆性。及时清除病株残叶、田边杂草，冬季</w:t>
      </w:r>
      <w:r>
        <w:rPr>
          <w:rFonts w:hint="eastAsia"/>
        </w:rPr>
        <w:t>清除</w:t>
      </w:r>
      <w:r>
        <w:t>残株，整洁田园，以消灭部分病虫卵。</w:t>
      </w:r>
    </w:p>
    <w:p w:rsidR="00C9269F" w:rsidRDefault="00FA574A">
      <w:pPr>
        <w:pStyle w:val="4"/>
      </w:pPr>
      <w:r>
        <w:rPr>
          <w:rFonts w:hint="eastAsia"/>
        </w:rPr>
        <w:t>7</w:t>
      </w:r>
      <w:r>
        <w:t>.5.3.2 物理防治</w:t>
      </w:r>
    </w:p>
    <w:p w:rsidR="00C9269F" w:rsidRDefault="00FA574A">
      <w:pPr>
        <w:ind w:firstLine="420"/>
      </w:pPr>
      <w:r>
        <w:t>根据害虫的不同性质，</w:t>
      </w:r>
      <w:r>
        <w:t>4</w:t>
      </w:r>
      <w:r>
        <w:t>月初～</w:t>
      </w:r>
      <w:r>
        <w:t>10</w:t>
      </w:r>
      <w:r>
        <w:t>月下旬，在田间</w:t>
      </w:r>
      <w:r>
        <w:rPr>
          <w:rFonts w:hint="eastAsia"/>
        </w:rPr>
        <w:t>悬挂黄板、蓝板诱杀蚜虫及蓟马等害虫，</w:t>
      </w:r>
      <w:r>
        <w:t>悬挂高度以黄板下端与作物顶部平齐或略高为宜，悬挂方向以板面朝东西方向为宜。一般采用规格：</w:t>
      </w:r>
      <w:r>
        <w:t>20 cm×25 cm</w:t>
      </w:r>
      <w:r>
        <w:t>或</w:t>
      </w:r>
      <w:r>
        <w:t>25 cm×30 cm</w:t>
      </w:r>
      <w:r>
        <w:t>；悬挂量：</w:t>
      </w:r>
      <w:r>
        <w:t>40</w:t>
      </w:r>
      <w:r>
        <w:t>张</w:t>
      </w:r>
      <w:r>
        <w:t>/</w:t>
      </w:r>
      <w:r>
        <w:t>亩～</w:t>
      </w:r>
      <w:r>
        <w:t>60</w:t>
      </w:r>
      <w:r>
        <w:t>张</w:t>
      </w:r>
      <w:r>
        <w:t>/</w:t>
      </w:r>
      <w:r>
        <w:t>亩。</w:t>
      </w:r>
    </w:p>
    <w:p w:rsidR="00C9269F" w:rsidRDefault="00FA574A">
      <w:pPr>
        <w:ind w:firstLine="420"/>
      </w:pPr>
      <w:r>
        <w:rPr>
          <w:rFonts w:hint="eastAsia"/>
        </w:rPr>
        <w:t>悬挂频振式杀虫灯诱杀棉铃虫、地老虎、金针虫等害虫。</w:t>
      </w:r>
      <w:r>
        <w:t>每</w:t>
      </w:r>
      <w:r>
        <w:t>10</w:t>
      </w:r>
      <w:r>
        <w:rPr>
          <w:rFonts w:hint="eastAsia"/>
        </w:rPr>
        <w:t>亩</w:t>
      </w:r>
      <w:r>
        <w:t>～</w:t>
      </w:r>
      <w:r>
        <w:t>15</w:t>
      </w:r>
      <w:r>
        <w:t>亩安装一盏频振式杀虫灯，灯间距离</w:t>
      </w:r>
      <w:r>
        <w:t>80 m</w:t>
      </w:r>
      <w:r>
        <w:t>～</w:t>
      </w:r>
      <w:r>
        <w:t>100 m</w:t>
      </w:r>
      <w:r>
        <w:t>，离地面高度</w:t>
      </w:r>
      <w:r>
        <w:t>1.5 m</w:t>
      </w:r>
      <w:r>
        <w:t>～</w:t>
      </w:r>
      <w:r>
        <w:t>1.8 m</w:t>
      </w:r>
      <w:r>
        <w:t>，呈棋盘式分布，挂灯时间为</w:t>
      </w:r>
      <w:r>
        <w:t>5</w:t>
      </w:r>
      <w:r>
        <w:t>月初～</w:t>
      </w:r>
      <w:r>
        <w:t>10</w:t>
      </w:r>
      <w:r>
        <w:t>月下旬，雷雨天不开灯。</w:t>
      </w:r>
    </w:p>
    <w:p w:rsidR="00C9269F" w:rsidRDefault="00FA574A">
      <w:pPr>
        <w:pStyle w:val="4"/>
      </w:pPr>
      <w:r>
        <w:rPr>
          <w:rFonts w:hint="eastAsia"/>
        </w:rPr>
        <w:t>7</w:t>
      </w:r>
      <w:r>
        <w:t>.5.3.3 生物防治</w:t>
      </w:r>
    </w:p>
    <w:p w:rsidR="00C9269F" w:rsidRDefault="00FA574A">
      <w:pPr>
        <w:ind w:firstLine="420"/>
      </w:pPr>
      <w:r>
        <w:t>使用生物源农药，保护和利用基地中的七星瓢虫、草蛉、寄生蜂、鸟类等天敌</w:t>
      </w:r>
      <w:r>
        <w:rPr>
          <w:rFonts w:hint="eastAsia"/>
        </w:rPr>
        <w:t>。</w:t>
      </w:r>
    </w:p>
    <w:p w:rsidR="00C9269F" w:rsidRDefault="00FA574A">
      <w:pPr>
        <w:pStyle w:val="4"/>
      </w:pPr>
      <w:r>
        <w:rPr>
          <w:rFonts w:hint="eastAsia"/>
        </w:rPr>
        <w:t>7</w:t>
      </w:r>
      <w:r>
        <w:t>.5.3.4 化学防治</w:t>
      </w:r>
    </w:p>
    <w:p w:rsidR="00C9269F" w:rsidRDefault="00FA574A">
      <w:pPr>
        <w:ind w:firstLine="420"/>
      </w:pPr>
      <w:r>
        <w:rPr>
          <w:rFonts w:hint="eastAsia"/>
        </w:rPr>
        <w:t>选用高效、低毒、低残留农药，合理交替使用不同作用机制或具有交互抗性的低风险药剂。具体防治措施和推荐用药见附录</w:t>
      </w:r>
      <w:r>
        <w:rPr>
          <w:rFonts w:hint="eastAsia"/>
        </w:rPr>
        <w:t>A</w:t>
      </w:r>
      <w:r>
        <w:rPr>
          <w:rFonts w:hint="eastAsia"/>
        </w:rPr>
        <w:t>。</w:t>
      </w:r>
    </w:p>
    <w:p w:rsidR="00C9269F" w:rsidRDefault="00FA574A">
      <w:pPr>
        <w:pStyle w:val="1"/>
      </w:pPr>
      <w:r>
        <w:rPr>
          <w:rFonts w:hint="eastAsia"/>
        </w:rPr>
        <w:t>8</w:t>
      </w:r>
      <w:r>
        <w:t xml:space="preserve"> 采收与加工</w:t>
      </w:r>
    </w:p>
    <w:p w:rsidR="00C9269F" w:rsidRDefault="00FA574A">
      <w:pPr>
        <w:pStyle w:val="2"/>
      </w:pPr>
      <w:r>
        <w:rPr>
          <w:rFonts w:hint="eastAsia"/>
        </w:rPr>
        <w:t>8</w:t>
      </w:r>
      <w:r>
        <w:t>.1 采收时间</w:t>
      </w:r>
    </w:p>
    <w:p w:rsidR="00C9269F" w:rsidRDefault="00FA574A">
      <w:pPr>
        <w:ind w:firstLine="420"/>
      </w:pPr>
      <w:r>
        <w:rPr>
          <w:rFonts w:hint="eastAsia"/>
        </w:rPr>
        <w:t>应采收成熟花蕾，即</w:t>
      </w:r>
      <w:r>
        <w:t>在</w:t>
      </w:r>
      <w:r>
        <w:rPr>
          <w:rFonts w:hint="eastAsia"/>
        </w:rPr>
        <w:t>花蕾充分饱满、颜色由青绿转黄绿、顶端饱满但尚未开裂时采收，每天在清晨</w:t>
      </w:r>
      <w:r>
        <w:rPr>
          <w:rFonts w:hint="eastAsia"/>
        </w:rPr>
        <w:t>0</w:t>
      </w:r>
      <w:r>
        <w:rPr>
          <w:rFonts w:hint="eastAsia"/>
        </w:rPr>
        <w:t>：</w:t>
      </w:r>
      <w:r>
        <w:rPr>
          <w:rFonts w:hint="eastAsia"/>
        </w:rPr>
        <w:t>00</w:t>
      </w:r>
      <w:r>
        <w:t>～</w:t>
      </w:r>
      <w:r>
        <w:rPr>
          <w:rFonts w:hint="eastAsia"/>
        </w:rPr>
        <w:t>10</w:t>
      </w:r>
      <w:r>
        <w:rPr>
          <w:rFonts w:hint="eastAsia"/>
        </w:rPr>
        <w:t>：</w:t>
      </w:r>
      <w:r>
        <w:rPr>
          <w:rFonts w:hint="eastAsia"/>
        </w:rPr>
        <w:t>00</w:t>
      </w:r>
      <w:r>
        <w:rPr>
          <w:rFonts w:hint="eastAsia"/>
        </w:rPr>
        <w:t>采收完备。</w:t>
      </w:r>
    </w:p>
    <w:p w:rsidR="00C9269F" w:rsidRDefault="00FA574A">
      <w:pPr>
        <w:pStyle w:val="2"/>
      </w:pPr>
      <w:r>
        <w:rPr>
          <w:rFonts w:hint="eastAsia"/>
        </w:rPr>
        <w:t>8</w:t>
      </w:r>
      <w:r>
        <w:t>.2 采收方法</w:t>
      </w:r>
    </w:p>
    <w:p w:rsidR="00C9269F" w:rsidRDefault="00FA574A">
      <w:pPr>
        <w:ind w:firstLine="420"/>
      </w:pPr>
      <w:r>
        <w:t>采收时用手指捏住花蕾的花梗基部，轻轻摘下放入篮内</w:t>
      </w:r>
      <w:r>
        <w:rPr>
          <w:rFonts w:hint="eastAsia"/>
        </w:rPr>
        <w:t>，</w:t>
      </w:r>
      <w:r>
        <w:t>不损伤花枝和幼蕾。在加工之前，忌用水清洗，将已开的花、破损的花从花蕾中剔除。</w:t>
      </w:r>
    </w:p>
    <w:p w:rsidR="00C9269F" w:rsidRDefault="00FA574A">
      <w:pPr>
        <w:pStyle w:val="2"/>
      </w:pPr>
      <w:r>
        <w:rPr>
          <w:rFonts w:hint="eastAsia"/>
        </w:rPr>
        <w:t>8</w:t>
      </w:r>
      <w:r>
        <w:t>.3 加工</w:t>
      </w:r>
    </w:p>
    <w:p w:rsidR="00C9269F" w:rsidRDefault="00FA574A">
      <w:pPr>
        <w:pStyle w:val="3"/>
      </w:pPr>
      <w:r>
        <w:rPr>
          <w:rFonts w:hint="eastAsia"/>
        </w:rPr>
        <w:t>8</w:t>
      </w:r>
      <w:r>
        <w:t>.3.1</w:t>
      </w:r>
      <w:r>
        <w:rPr>
          <w:rFonts w:hint="eastAsia"/>
        </w:rPr>
        <w:t xml:space="preserve"> 生产工艺流程</w:t>
      </w:r>
    </w:p>
    <w:p w:rsidR="00C9269F" w:rsidRDefault="00FA574A">
      <w:pPr>
        <w:ind w:firstLine="420"/>
      </w:pPr>
      <w:r>
        <w:rPr>
          <w:rFonts w:hint="eastAsia"/>
        </w:rPr>
        <w:t>原料</w:t>
      </w:r>
      <w:r>
        <w:rPr>
          <w:rFonts w:ascii="Arial" w:hAnsi="Arial" w:cs="Arial"/>
        </w:rPr>
        <w:t>→</w:t>
      </w:r>
      <w:r>
        <w:rPr>
          <w:rFonts w:hint="eastAsia"/>
        </w:rPr>
        <w:t>挑选</w:t>
      </w:r>
      <w:r>
        <w:rPr>
          <w:rFonts w:ascii="Arial" w:hAnsi="Arial" w:cs="Arial"/>
        </w:rPr>
        <w:t>→</w:t>
      </w:r>
      <w:r>
        <w:rPr>
          <w:rFonts w:hint="eastAsia"/>
        </w:rPr>
        <w:t>清洗</w:t>
      </w:r>
      <w:r>
        <w:rPr>
          <w:rFonts w:ascii="Arial" w:hAnsi="Arial" w:cs="Arial"/>
        </w:rPr>
        <w:t>→</w:t>
      </w:r>
      <w:r>
        <w:rPr>
          <w:rFonts w:hint="eastAsia"/>
        </w:rPr>
        <w:t>杀青</w:t>
      </w:r>
      <w:r>
        <w:rPr>
          <w:rFonts w:ascii="Arial" w:hAnsi="Arial" w:cs="Arial"/>
        </w:rPr>
        <w:t>→</w:t>
      </w:r>
      <w:r>
        <w:rPr>
          <w:rFonts w:hint="eastAsia"/>
        </w:rPr>
        <w:t>烘干</w:t>
      </w:r>
      <w:r>
        <w:rPr>
          <w:rFonts w:ascii="Arial" w:hAnsi="Arial" w:cs="Arial"/>
        </w:rPr>
        <w:t>→</w:t>
      </w:r>
      <w:r>
        <w:rPr>
          <w:rFonts w:hint="eastAsia"/>
        </w:rPr>
        <w:t>包装</w:t>
      </w:r>
      <w:r>
        <w:rPr>
          <w:rFonts w:ascii="Arial" w:hAnsi="Arial" w:cs="Arial"/>
        </w:rPr>
        <w:t>→</w:t>
      </w:r>
      <w:r>
        <w:rPr>
          <w:rFonts w:ascii="Arial" w:hAnsi="Arial" w:cs="Arial" w:hint="eastAsia"/>
        </w:rPr>
        <w:t>储存</w:t>
      </w:r>
      <w:r>
        <w:rPr>
          <w:rFonts w:hint="eastAsia"/>
        </w:rPr>
        <w:t>。</w:t>
      </w:r>
    </w:p>
    <w:p w:rsidR="00C9269F" w:rsidRDefault="00FA574A">
      <w:pPr>
        <w:pStyle w:val="3"/>
      </w:pPr>
      <w:r>
        <w:rPr>
          <w:rFonts w:hint="eastAsia"/>
        </w:rPr>
        <w:t>8.3.2 挑选</w:t>
      </w:r>
    </w:p>
    <w:p w:rsidR="00C9269F" w:rsidRDefault="00FA574A">
      <w:pPr>
        <w:ind w:firstLine="420"/>
      </w:pPr>
      <w:r>
        <w:rPr>
          <w:rFonts w:hint="eastAsia"/>
        </w:rPr>
        <w:t>应去除损伤、腐烂、开花的产品和外来异物。</w:t>
      </w:r>
    </w:p>
    <w:p w:rsidR="00C9269F" w:rsidRDefault="00FA574A">
      <w:pPr>
        <w:pStyle w:val="3"/>
      </w:pPr>
      <w:r>
        <w:rPr>
          <w:rFonts w:hint="eastAsia"/>
        </w:rPr>
        <w:t>8.3.3 清洗</w:t>
      </w:r>
    </w:p>
    <w:p w:rsidR="00C9269F" w:rsidRDefault="00FA574A">
      <w:pPr>
        <w:ind w:firstLine="420"/>
      </w:pPr>
      <w:r>
        <w:rPr>
          <w:rFonts w:hint="eastAsia"/>
        </w:rPr>
        <w:t>将精选的黄花菜放置于清洗装置内，向容器中充水，当水漫过黄花菜后，打开容器排水阀门，调节排水阀，使充水与排水速度趋于平衡，除去表面异物，生产加工用水应符合</w:t>
      </w:r>
      <w:r>
        <w:rPr>
          <w:rFonts w:hint="eastAsia"/>
        </w:rPr>
        <w:t>NY/T 391</w:t>
      </w:r>
      <w:r>
        <w:rPr>
          <w:rFonts w:hint="eastAsia"/>
        </w:rPr>
        <w:t>的要求。</w:t>
      </w:r>
    </w:p>
    <w:p w:rsidR="00C9269F" w:rsidRDefault="00FA574A">
      <w:pPr>
        <w:pStyle w:val="3"/>
      </w:pPr>
      <w:r>
        <w:rPr>
          <w:rFonts w:hint="eastAsia"/>
        </w:rPr>
        <w:lastRenderedPageBreak/>
        <w:t>8.3.4 杀青</w:t>
      </w:r>
    </w:p>
    <w:p w:rsidR="00C9269F" w:rsidRDefault="00FA574A">
      <w:pPr>
        <w:ind w:firstLine="420"/>
      </w:pPr>
      <w:r>
        <w:rPr>
          <w:rFonts w:hint="eastAsia"/>
        </w:rPr>
        <w:t>选择蒸汽杀青方法，</w:t>
      </w:r>
      <w:r>
        <w:t>放在筛内的花蕾要蓬松，不要太实，以</w:t>
      </w:r>
      <w:r>
        <w:rPr>
          <w:rFonts w:hint="eastAsia"/>
        </w:rPr>
        <w:t xml:space="preserve">5 </w:t>
      </w:r>
      <w:r>
        <w:t>cm</w:t>
      </w:r>
      <w:r>
        <w:t>厚为宜，中间留个小孔，</w:t>
      </w:r>
      <w:r>
        <w:rPr>
          <w:rFonts w:hint="eastAsia"/>
        </w:rPr>
        <w:t>蒸汽温度</w:t>
      </w:r>
      <w:r>
        <w:rPr>
          <w:rFonts w:hint="eastAsia"/>
        </w:rPr>
        <w:t>140</w:t>
      </w:r>
      <w:r>
        <w:rPr>
          <w:rFonts w:hint="eastAsia"/>
        </w:rPr>
        <w:t>℃，经过</w:t>
      </w:r>
      <w:r>
        <w:rPr>
          <w:rFonts w:hint="eastAsia"/>
        </w:rPr>
        <w:t>10 min</w:t>
      </w:r>
      <w:r>
        <w:rPr>
          <w:rFonts w:hint="eastAsia"/>
        </w:rPr>
        <w:t>将黄花菜杀青。</w:t>
      </w:r>
    </w:p>
    <w:p w:rsidR="00C9269F" w:rsidRDefault="00FA574A">
      <w:pPr>
        <w:ind w:firstLine="420"/>
      </w:pPr>
      <w:r>
        <w:rPr>
          <w:rFonts w:hint="eastAsia"/>
        </w:rPr>
        <w:t>选择杀青房方法，黄花菜摊铺在料盘内，厚度宜控制在</w:t>
      </w:r>
      <w:r>
        <w:rPr>
          <w:rFonts w:hint="eastAsia"/>
        </w:rPr>
        <w:t>10 cm</w:t>
      </w:r>
      <w:r>
        <w:rPr>
          <w:rFonts w:hint="eastAsia"/>
        </w:rPr>
        <w:t>以下，物料温度控制在</w:t>
      </w:r>
      <w:r>
        <w:rPr>
          <w:rFonts w:hint="eastAsia"/>
        </w:rPr>
        <w:t>70</w:t>
      </w:r>
      <w:r>
        <w:rPr>
          <w:rFonts w:hint="eastAsia"/>
        </w:rPr>
        <w:t>℃～</w:t>
      </w:r>
      <w:r>
        <w:rPr>
          <w:rFonts w:hint="eastAsia"/>
        </w:rPr>
        <w:t>80</w:t>
      </w:r>
      <w:r>
        <w:rPr>
          <w:rFonts w:hint="eastAsia"/>
        </w:rPr>
        <w:t>℃，经过</w:t>
      </w:r>
      <w:r>
        <w:rPr>
          <w:rFonts w:hint="eastAsia"/>
        </w:rPr>
        <w:t>30 min</w:t>
      </w:r>
      <w:r>
        <w:rPr>
          <w:rFonts w:hint="eastAsia"/>
        </w:rPr>
        <w:t>将黄花菜杀青。</w:t>
      </w:r>
    </w:p>
    <w:p w:rsidR="00C9269F" w:rsidRDefault="00FA574A">
      <w:pPr>
        <w:pStyle w:val="3"/>
      </w:pPr>
      <w:r>
        <w:rPr>
          <w:rFonts w:hint="eastAsia"/>
        </w:rPr>
        <w:t>8.3.5 烘干</w:t>
      </w:r>
    </w:p>
    <w:p w:rsidR="00C9269F" w:rsidRDefault="00FA574A">
      <w:pPr>
        <w:pStyle w:val="4"/>
      </w:pPr>
      <w:r>
        <w:rPr>
          <w:rFonts w:hint="eastAsia"/>
        </w:rPr>
        <w:t>8.3.5.1 晾晒</w:t>
      </w:r>
    </w:p>
    <w:p w:rsidR="00C9269F" w:rsidRDefault="00FA574A">
      <w:pPr>
        <w:ind w:firstLine="420"/>
      </w:pPr>
      <w:r>
        <w:rPr>
          <w:rFonts w:eastAsia="宋体" w:cs="Times New Roman" w:hint="eastAsia"/>
          <w:szCs w:val="21"/>
        </w:rPr>
        <w:t>选择晴朗天气，在竹席或</w:t>
      </w:r>
      <w:r>
        <w:rPr>
          <w:rFonts w:hint="eastAsia"/>
        </w:rPr>
        <w:t>晾晒场</w:t>
      </w:r>
      <w:r>
        <w:rPr>
          <w:rFonts w:eastAsia="宋体" w:cs="Times New Roman" w:hint="eastAsia"/>
          <w:szCs w:val="21"/>
        </w:rPr>
        <w:t>上摊晒，花蕾摊薄至</w:t>
      </w:r>
      <w:r>
        <w:rPr>
          <w:rFonts w:eastAsia="宋体" w:cs="Times New Roman" w:hint="eastAsia"/>
          <w:szCs w:val="21"/>
        </w:rPr>
        <w:t>1</w:t>
      </w:r>
      <w:bookmarkStart w:id="11" w:name="OLE_LINK46"/>
      <w:bookmarkStart w:id="12" w:name="OLE_LINK47"/>
      <w:r>
        <w:rPr>
          <w:rFonts w:eastAsia="宋体" w:cs="Times New Roman" w:hint="eastAsia"/>
          <w:szCs w:val="21"/>
        </w:rPr>
        <w:t>层</w:t>
      </w:r>
      <w:r>
        <w:rPr>
          <w:rFonts w:hint="eastAsia"/>
        </w:rPr>
        <w:t>～</w:t>
      </w:r>
      <w:bookmarkEnd w:id="11"/>
      <w:bookmarkEnd w:id="12"/>
      <w:r>
        <w:rPr>
          <w:rFonts w:eastAsia="宋体" w:cs="Times New Roman" w:hint="eastAsia"/>
          <w:szCs w:val="21"/>
        </w:rPr>
        <w:t>2</w:t>
      </w:r>
      <w:bookmarkStart w:id="13" w:name="OLE_LINK48"/>
      <w:r>
        <w:rPr>
          <w:rFonts w:eastAsia="宋体" w:cs="Times New Roman" w:hint="eastAsia"/>
          <w:szCs w:val="21"/>
        </w:rPr>
        <w:t>层</w:t>
      </w:r>
      <w:bookmarkEnd w:id="13"/>
      <w:r>
        <w:rPr>
          <w:rFonts w:hint="eastAsia"/>
        </w:rPr>
        <w:t>，将粘贴或叠加在一起的花蕾分开、整直，每隔</w:t>
      </w:r>
      <w:r>
        <w:rPr>
          <w:rFonts w:hint="eastAsia"/>
        </w:rPr>
        <w:t xml:space="preserve"> 1 h</w:t>
      </w:r>
      <w:r>
        <w:rPr>
          <w:rFonts w:hint="eastAsia"/>
        </w:rPr>
        <w:t>～</w:t>
      </w:r>
      <w:r>
        <w:rPr>
          <w:rFonts w:hint="eastAsia"/>
        </w:rPr>
        <w:t>1.5 h</w:t>
      </w:r>
      <w:r>
        <w:rPr>
          <w:rFonts w:hint="eastAsia"/>
        </w:rPr>
        <w:t>翻一次，直至黄花菜水分含量降至</w:t>
      </w:r>
      <w:r>
        <w:rPr>
          <w:rFonts w:hint="eastAsia"/>
        </w:rPr>
        <w:t>15%</w:t>
      </w:r>
      <w:r>
        <w:rPr>
          <w:rFonts w:hint="eastAsia"/>
        </w:rPr>
        <w:t>左右。</w:t>
      </w:r>
    </w:p>
    <w:p w:rsidR="00C9269F" w:rsidRDefault="00FA574A">
      <w:pPr>
        <w:pStyle w:val="4"/>
      </w:pPr>
      <w:r>
        <w:rPr>
          <w:rFonts w:hint="eastAsia"/>
        </w:rPr>
        <w:t>8.3.5.2 机械烘干</w:t>
      </w:r>
    </w:p>
    <w:p w:rsidR="00C9269F" w:rsidRDefault="00FA574A">
      <w:pPr>
        <w:ind w:firstLine="420"/>
      </w:pPr>
      <w:r>
        <w:rPr>
          <w:rFonts w:hint="eastAsia"/>
        </w:rPr>
        <w:t>选择烘干机进行烘干，则在</w:t>
      </w:r>
      <w:r>
        <w:rPr>
          <w:rFonts w:hint="eastAsia"/>
        </w:rPr>
        <w:t>90</w:t>
      </w:r>
      <w:r>
        <w:rPr>
          <w:rFonts w:hint="eastAsia"/>
        </w:rPr>
        <w:t>℃～</w:t>
      </w:r>
      <w:r>
        <w:rPr>
          <w:rFonts w:hint="eastAsia"/>
        </w:rPr>
        <w:t>120</w:t>
      </w:r>
      <w:r>
        <w:rPr>
          <w:rFonts w:hint="eastAsia"/>
        </w:rPr>
        <w:t>℃之间的温度烘干黄花中残留的水分，含水量降低至</w:t>
      </w:r>
      <w:r>
        <w:rPr>
          <w:rFonts w:hint="eastAsia"/>
        </w:rPr>
        <w:t>20%</w:t>
      </w:r>
      <w:r>
        <w:rPr>
          <w:rFonts w:hint="eastAsia"/>
        </w:rPr>
        <w:t>左右，所用时间大约为</w:t>
      </w:r>
      <w:r>
        <w:rPr>
          <w:rFonts w:hint="eastAsia"/>
        </w:rPr>
        <w:t>40 min</w:t>
      </w:r>
      <w:r>
        <w:rPr>
          <w:rFonts w:hint="eastAsia"/>
        </w:rPr>
        <w:t>左右。再通过</w:t>
      </w:r>
      <w:r>
        <w:rPr>
          <w:rFonts w:hint="eastAsia"/>
        </w:rPr>
        <w:t>50</w:t>
      </w:r>
      <w:r>
        <w:rPr>
          <w:rFonts w:hint="eastAsia"/>
        </w:rPr>
        <w:t>℃～</w:t>
      </w:r>
      <w:r>
        <w:rPr>
          <w:rFonts w:hint="eastAsia"/>
        </w:rPr>
        <w:t>90</w:t>
      </w:r>
      <w:r>
        <w:rPr>
          <w:rFonts w:hint="eastAsia"/>
        </w:rPr>
        <w:t>℃的温度烘干黄花，将黄花的含水量再次降低至</w:t>
      </w:r>
      <w:r>
        <w:rPr>
          <w:rFonts w:hint="eastAsia"/>
        </w:rPr>
        <w:t>5%</w:t>
      </w:r>
      <w:r>
        <w:rPr>
          <w:rFonts w:hint="eastAsia"/>
        </w:rPr>
        <w:t>左右，所用时间大约为</w:t>
      </w:r>
      <w:r>
        <w:rPr>
          <w:rFonts w:hint="eastAsia"/>
        </w:rPr>
        <w:t>50 min</w:t>
      </w:r>
      <w:r>
        <w:rPr>
          <w:rFonts w:hint="eastAsia"/>
        </w:rPr>
        <w:t>左右，黄花水分含量降低至</w:t>
      </w:r>
      <w:r>
        <w:rPr>
          <w:rFonts w:hint="eastAsia"/>
        </w:rPr>
        <w:t>15%</w:t>
      </w:r>
      <w:r>
        <w:rPr>
          <w:rFonts w:hint="eastAsia"/>
        </w:rPr>
        <w:t>左右。</w:t>
      </w:r>
    </w:p>
    <w:p w:rsidR="00C9269F" w:rsidRDefault="00FA574A">
      <w:pPr>
        <w:ind w:firstLine="420"/>
      </w:pPr>
      <w:r>
        <w:rPr>
          <w:rFonts w:hint="eastAsia"/>
        </w:rPr>
        <w:t>选择烘干房进行烘干，温度在</w:t>
      </w:r>
      <w:r>
        <w:rPr>
          <w:rFonts w:hint="eastAsia"/>
        </w:rPr>
        <w:t>45</w:t>
      </w:r>
      <w:r>
        <w:rPr>
          <w:rFonts w:hint="eastAsia"/>
        </w:rPr>
        <w:t>℃～</w:t>
      </w:r>
      <w:r>
        <w:rPr>
          <w:rFonts w:hint="eastAsia"/>
        </w:rPr>
        <w:t>75</w:t>
      </w:r>
      <w:r>
        <w:rPr>
          <w:rFonts w:hint="eastAsia"/>
        </w:rPr>
        <w:t>℃，反复升温排潮，所用时间</w:t>
      </w:r>
      <w:r>
        <w:rPr>
          <w:rFonts w:hint="eastAsia"/>
        </w:rPr>
        <w:t>10 h</w:t>
      </w:r>
      <w:r>
        <w:rPr>
          <w:rFonts w:hint="eastAsia"/>
        </w:rPr>
        <w:t>，黄花水分含量降低至</w:t>
      </w:r>
      <w:r>
        <w:rPr>
          <w:rFonts w:hint="eastAsia"/>
        </w:rPr>
        <w:t>15%</w:t>
      </w:r>
      <w:r>
        <w:rPr>
          <w:rFonts w:hint="eastAsia"/>
        </w:rPr>
        <w:t>左右。</w:t>
      </w:r>
    </w:p>
    <w:p w:rsidR="00C9269F" w:rsidRDefault="00FA574A">
      <w:pPr>
        <w:pStyle w:val="1"/>
      </w:pPr>
      <w:r>
        <w:rPr>
          <w:rFonts w:hint="eastAsia"/>
        </w:rPr>
        <w:t>9</w:t>
      </w:r>
      <w:r>
        <w:t xml:space="preserve"> 包装、运输储藏</w:t>
      </w:r>
    </w:p>
    <w:p w:rsidR="00C9269F" w:rsidRDefault="00FA574A">
      <w:pPr>
        <w:ind w:firstLine="420"/>
      </w:pPr>
      <w:r>
        <w:t>及时分等级包装，包装袋必须标注品名、规格（等级）、产地、批号、包装日期、生产单位等，包装应符合</w:t>
      </w:r>
      <w:r>
        <w:t>NY/T 658</w:t>
      </w:r>
      <w:r>
        <w:t>的规定。运输工具和存储场所应清洁、卫生、通风，严防日晒雨淋，温度控制在</w:t>
      </w:r>
      <w:r>
        <w:t>2</w:t>
      </w:r>
      <w:r>
        <w:rPr>
          <w:rFonts w:ascii="宋体" w:eastAsia="宋体" w:hAnsi="宋体" w:cs="宋体" w:hint="eastAsia"/>
          <w:bCs/>
        </w:rPr>
        <w:t>℃</w:t>
      </w:r>
      <w:r>
        <w:t>～</w:t>
      </w:r>
      <w:r>
        <w:t>10</w:t>
      </w:r>
      <w:r>
        <w:rPr>
          <w:rFonts w:ascii="宋体" w:eastAsia="宋体" w:hAnsi="宋体" w:cs="宋体" w:hint="eastAsia"/>
          <w:bCs/>
        </w:rPr>
        <w:t>℃</w:t>
      </w:r>
      <w:r>
        <w:t>，不应与有毒、有害的物品混运混存，应符合</w:t>
      </w:r>
      <w:r>
        <w:t xml:space="preserve">NY/T 1056 </w:t>
      </w:r>
      <w:r>
        <w:t>的规定。</w:t>
      </w:r>
    </w:p>
    <w:p w:rsidR="00C9269F" w:rsidRDefault="00FA574A">
      <w:pPr>
        <w:pStyle w:val="1"/>
      </w:pPr>
      <w:r>
        <w:rPr>
          <w:rFonts w:hint="eastAsia"/>
        </w:rPr>
        <w:t>10</w:t>
      </w:r>
      <w:r>
        <w:t xml:space="preserve"> 生产废弃物的处理</w:t>
      </w:r>
    </w:p>
    <w:p w:rsidR="00C9269F" w:rsidRDefault="00FA574A">
      <w:pPr>
        <w:ind w:firstLine="420"/>
      </w:pPr>
      <w:r>
        <w:rPr>
          <w:rFonts w:hint="eastAsia"/>
        </w:rPr>
        <w:t>黄花菜</w:t>
      </w:r>
      <w:r>
        <w:t>的秸秆、生产过程中的碎杂均可就地还田。农业投入品的包装废弃物应回收，交由有资质的部门或网点集中处理，不得随意弃置、掩埋或者焚烧。</w:t>
      </w:r>
    </w:p>
    <w:p w:rsidR="00C9269F" w:rsidRDefault="00FA574A">
      <w:pPr>
        <w:pStyle w:val="1"/>
      </w:pPr>
      <w:r>
        <w:t>1</w:t>
      </w:r>
      <w:r>
        <w:rPr>
          <w:rFonts w:hint="eastAsia"/>
        </w:rPr>
        <w:t xml:space="preserve">1 </w:t>
      </w:r>
      <w:r>
        <w:t>生产档案管理</w:t>
      </w:r>
    </w:p>
    <w:p w:rsidR="00C9269F" w:rsidRDefault="00FA574A">
      <w:pPr>
        <w:ind w:firstLine="420"/>
      </w:pPr>
      <w:r>
        <w:t>应建立详细的绿色食品</w:t>
      </w:r>
      <w:r>
        <w:rPr>
          <w:rFonts w:hint="eastAsia"/>
        </w:rPr>
        <w:t>干黄花菜</w:t>
      </w:r>
      <w:r>
        <w:t>生产档案。明确产地环境条件、生产技术、肥水管理、病虫草害发生和防治、采收和采后处理等各环节的记录。记录保存不少于</w:t>
      </w:r>
      <w:r>
        <w:t>3</w:t>
      </w:r>
      <w:r>
        <w:t>年。</w:t>
      </w:r>
      <w:r>
        <w:rPr>
          <w:rFonts w:hint="eastAsia"/>
        </w:rPr>
        <w:t>做到农产品生产可追溯。</w:t>
      </w:r>
    </w:p>
    <w:p w:rsidR="00C9269F" w:rsidRDefault="00FA574A">
      <w:pPr>
        <w:widowControl/>
        <w:ind w:firstLine="480"/>
        <w:jc w:val="left"/>
        <w:rPr>
          <w:rFonts w:cs="Times New Roman"/>
          <w:sz w:val="24"/>
        </w:rPr>
      </w:pPr>
      <w:r>
        <w:rPr>
          <w:rFonts w:cs="Times New Roman"/>
          <w:sz w:val="24"/>
        </w:rPr>
        <w:br w:type="page"/>
      </w:r>
    </w:p>
    <w:p w:rsidR="00C9269F" w:rsidRDefault="00FA574A">
      <w:pPr>
        <w:pStyle w:val="1"/>
        <w:jc w:val="center"/>
      </w:pPr>
      <w:r>
        <w:rPr>
          <w:rFonts w:hint="eastAsia"/>
        </w:rPr>
        <w:lastRenderedPageBreak/>
        <w:t>附录A</w:t>
      </w:r>
    </w:p>
    <w:p w:rsidR="00C9269F" w:rsidRDefault="00FA574A">
      <w:pPr>
        <w:ind w:firstLineChars="0" w:firstLine="0"/>
        <w:jc w:val="center"/>
        <w:rPr>
          <w:rFonts w:ascii="黑体" w:eastAsia="黑体" w:cs="Times New Roman"/>
          <w:kern w:val="0"/>
          <w:szCs w:val="21"/>
        </w:rPr>
      </w:pPr>
      <w:r>
        <w:rPr>
          <w:rFonts w:ascii="黑体" w:eastAsia="黑体" w:cs="Times New Roman" w:hint="eastAsia"/>
          <w:kern w:val="0"/>
          <w:szCs w:val="21"/>
        </w:rPr>
        <w:t>（资料性附录）</w:t>
      </w:r>
    </w:p>
    <w:p w:rsidR="00C9269F" w:rsidRDefault="00FA574A">
      <w:pPr>
        <w:ind w:firstLineChars="0" w:firstLine="0"/>
        <w:jc w:val="center"/>
        <w:rPr>
          <w:rFonts w:ascii="黑体" w:eastAsia="黑体" w:cs="Times New Roman"/>
          <w:kern w:val="0"/>
          <w:szCs w:val="21"/>
        </w:rPr>
      </w:pPr>
      <w:r>
        <w:rPr>
          <w:rFonts w:ascii="黑体" w:eastAsia="黑体" w:cs="Times New Roman" w:hint="eastAsia"/>
          <w:kern w:val="0"/>
          <w:szCs w:val="21"/>
        </w:rPr>
        <w:t>绿色食品黄花菜生产主要病虫害防治推荐农药使用方案</w:t>
      </w:r>
    </w:p>
    <w:p w:rsidR="00C9269F" w:rsidRDefault="00C9269F">
      <w:pPr>
        <w:pStyle w:val="aa"/>
        <w:ind w:firstLineChars="0" w:firstLine="0"/>
      </w:pPr>
    </w:p>
    <w:p w:rsidR="00C9269F" w:rsidRDefault="00FA574A">
      <w:pPr>
        <w:ind w:firstLine="420"/>
      </w:pPr>
      <w:r>
        <w:rPr>
          <w:rFonts w:hint="eastAsia"/>
        </w:rPr>
        <w:t>绿色食品黄花菜生产主要病虫害防治推荐农药使用方案表</w:t>
      </w:r>
      <w:r>
        <w:rPr>
          <w:rFonts w:hint="eastAsia"/>
        </w:rPr>
        <w:t>A.1</w:t>
      </w:r>
      <w:r>
        <w:rPr>
          <w:rFonts w:hint="eastAsia"/>
        </w:rPr>
        <w:t>。</w:t>
      </w:r>
    </w:p>
    <w:p w:rsidR="00C9269F" w:rsidRDefault="00FA574A">
      <w:pPr>
        <w:pStyle w:val="aa"/>
        <w:ind w:firstLineChars="0" w:firstLine="0"/>
        <w:jc w:val="center"/>
      </w:pPr>
      <w:r>
        <w:rPr>
          <w:rFonts w:ascii="黑体" w:eastAsia="黑体" w:hint="eastAsia"/>
          <w:szCs w:val="21"/>
        </w:rPr>
        <w:t>表A.1 绿色食品黄花菜生产主要病虫害防治推荐农药使用方案</w:t>
      </w:r>
    </w:p>
    <w:tbl>
      <w:tblPr>
        <w:tblpPr w:leftFromText="180" w:rightFromText="180" w:vertAnchor="text" w:horzAnchor="page" w:tblpXSpec="center" w:tblpY="214"/>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133"/>
        <w:gridCol w:w="2836"/>
        <w:gridCol w:w="1566"/>
        <w:gridCol w:w="741"/>
        <w:gridCol w:w="1142"/>
      </w:tblGrid>
      <w:tr w:rsidR="00C9269F">
        <w:trPr>
          <w:trHeight w:val="567"/>
          <w:jc w:val="center"/>
        </w:trPr>
        <w:tc>
          <w:tcPr>
            <w:tcW w:w="647" w:type="pct"/>
            <w:vAlign w:val="center"/>
          </w:tcPr>
          <w:p w:rsidR="00C9269F" w:rsidRDefault="00FA574A">
            <w:pPr>
              <w:spacing w:line="240" w:lineRule="auto"/>
              <w:ind w:firstLineChars="0" w:firstLine="0"/>
              <w:jc w:val="center"/>
              <w:rPr>
                <w:rStyle w:val="11"/>
                <w:rFonts w:ascii="黑体" w:eastAsia="黑体" w:hAnsi="黑体"/>
              </w:rPr>
            </w:pPr>
            <w:r>
              <w:rPr>
                <w:rStyle w:val="11"/>
                <w:rFonts w:ascii="黑体" w:eastAsia="黑体" w:hAnsi="黑体"/>
              </w:rPr>
              <w:t>防治对象</w:t>
            </w:r>
          </w:p>
        </w:tc>
        <w:tc>
          <w:tcPr>
            <w:tcW w:w="665" w:type="pct"/>
            <w:vAlign w:val="center"/>
          </w:tcPr>
          <w:p w:rsidR="00C9269F" w:rsidRDefault="00FA574A">
            <w:pPr>
              <w:spacing w:line="240" w:lineRule="auto"/>
              <w:ind w:firstLineChars="0" w:firstLine="0"/>
              <w:jc w:val="center"/>
              <w:rPr>
                <w:rStyle w:val="11"/>
                <w:rFonts w:ascii="黑体" w:eastAsia="黑体" w:hAnsi="黑体"/>
              </w:rPr>
            </w:pPr>
            <w:r>
              <w:rPr>
                <w:rStyle w:val="11"/>
                <w:rFonts w:ascii="黑体" w:eastAsia="黑体" w:hAnsi="黑体"/>
              </w:rPr>
              <w:t>防治时期</w:t>
            </w:r>
          </w:p>
        </w:tc>
        <w:tc>
          <w:tcPr>
            <w:tcW w:w="1664" w:type="pct"/>
            <w:vAlign w:val="center"/>
          </w:tcPr>
          <w:p w:rsidR="00C9269F" w:rsidRDefault="00FA574A">
            <w:pPr>
              <w:spacing w:line="240" w:lineRule="auto"/>
              <w:ind w:firstLineChars="0" w:firstLine="0"/>
              <w:jc w:val="center"/>
              <w:rPr>
                <w:rStyle w:val="11"/>
                <w:rFonts w:ascii="黑体" w:eastAsia="黑体" w:hAnsi="黑体"/>
              </w:rPr>
            </w:pPr>
            <w:r>
              <w:rPr>
                <w:rStyle w:val="11"/>
                <w:rFonts w:ascii="黑体" w:eastAsia="黑体" w:hAnsi="黑体" w:hint="eastAsia"/>
              </w:rPr>
              <w:t>农药名称</w:t>
            </w:r>
          </w:p>
        </w:tc>
        <w:tc>
          <w:tcPr>
            <w:tcW w:w="919" w:type="pct"/>
            <w:vAlign w:val="center"/>
          </w:tcPr>
          <w:p w:rsidR="00C9269F" w:rsidRDefault="00FA574A">
            <w:pPr>
              <w:spacing w:line="240" w:lineRule="auto"/>
              <w:ind w:firstLineChars="0" w:firstLine="0"/>
              <w:jc w:val="center"/>
              <w:rPr>
                <w:rStyle w:val="11"/>
                <w:rFonts w:ascii="黑体" w:eastAsia="黑体" w:hAnsi="黑体"/>
              </w:rPr>
            </w:pPr>
            <w:r>
              <w:rPr>
                <w:rStyle w:val="11"/>
                <w:rFonts w:ascii="黑体" w:eastAsia="黑体" w:hAnsi="黑体" w:hint="eastAsia"/>
              </w:rPr>
              <w:t>使用剂量</w:t>
            </w:r>
          </w:p>
        </w:tc>
        <w:tc>
          <w:tcPr>
            <w:tcW w:w="435" w:type="pct"/>
            <w:vAlign w:val="center"/>
          </w:tcPr>
          <w:p w:rsidR="00C9269F" w:rsidRDefault="00FA574A">
            <w:pPr>
              <w:spacing w:line="240" w:lineRule="auto"/>
              <w:ind w:firstLineChars="0" w:firstLine="0"/>
              <w:jc w:val="center"/>
              <w:rPr>
                <w:rStyle w:val="11"/>
                <w:rFonts w:ascii="黑体" w:eastAsia="黑体" w:hAnsi="黑体"/>
              </w:rPr>
            </w:pPr>
            <w:r>
              <w:rPr>
                <w:rStyle w:val="11"/>
                <w:rFonts w:ascii="黑体" w:eastAsia="黑体" w:hAnsi="黑体" w:hint="eastAsia"/>
              </w:rPr>
              <w:t>使用方法</w:t>
            </w:r>
          </w:p>
        </w:tc>
        <w:tc>
          <w:tcPr>
            <w:tcW w:w="671" w:type="pct"/>
            <w:vAlign w:val="center"/>
          </w:tcPr>
          <w:p w:rsidR="00C9269F" w:rsidRDefault="00FA574A">
            <w:pPr>
              <w:spacing w:line="240" w:lineRule="auto"/>
              <w:ind w:firstLineChars="0" w:firstLine="0"/>
              <w:jc w:val="center"/>
              <w:rPr>
                <w:rStyle w:val="11"/>
                <w:rFonts w:ascii="黑体" w:eastAsia="黑体" w:hAnsi="黑体"/>
              </w:rPr>
            </w:pPr>
            <w:r>
              <w:rPr>
                <w:rStyle w:val="11"/>
                <w:rFonts w:ascii="黑体" w:eastAsia="黑体" w:hAnsi="黑体"/>
              </w:rPr>
              <w:t>安全间隔</w:t>
            </w:r>
            <w:r>
              <w:rPr>
                <w:rStyle w:val="11"/>
                <w:rFonts w:ascii="黑体" w:eastAsia="黑体" w:hAnsi="黑体" w:hint="eastAsia"/>
              </w:rPr>
              <w:t>期（d）</w:t>
            </w:r>
          </w:p>
        </w:tc>
      </w:tr>
      <w:tr w:rsidR="00C9269F">
        <w:trPr>
          <w:trHeight w:val="565"/>
          <w:jc w:val="center"/>
        </w:trPr>
        <w:tc>
          <w:tcPr>
            <w:tcW w:w="647" w:type="pct"/>
            <w:shd w:val="clear" w:color="auto" w:fill="auto"/>
            <w:vAlign w:val="center"/>
          </w:tcPr>
          <w:p w:rsidR="00C9269F" w:rsidRDefault="00FA574A">
            <w:pPr>
              <w:spacing w:line="240" w:lineRule="auto"/>
              <w:ind w:firstLineChars="0" w:firstLine="0"/>
              <w:jc w:val="center"/>
              <w:rPr>
                <w:rStyle w:val="11"/>
              </w:rPr>
            </w:pPr>
            <w:r>
              <w:rPr>
                <w:rStyle w:val="11"/>
                <w:rFonts w:hint="eastAsia"/>
              </w:rPr>
              <w:t>锈病</w:t>
            </w:r>
          </w:p>
        </w:tc>
        <w:tc>
          <w:tcPr>
            <w:tcW w:w="665"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发病初期</w:t>
            </w:r>
          </w:p>
        </w:tc>
        <w:tc>
          <w:tcPr>
            <w:tcW w:w="1664" w:type="pct"/>
            <w:shd w:val="clear" w:color="auto" w:fill="auto"/>
            <w:vAlign w:val="center"/>
          </w:tcPr>
          <w:p w:rsidR="00C9269F" w:rsidRDefault="00FA574A">
            <w:pPr>
              <w:spacing w:line="240" w:lineRule="auto"/>
              <w:ind w:firstLineChars="0" w:firstLine="0"/>
              <w:jc w:val="center"/>
              <w:rPr>
                <w:rStyle w:val="11"/>
              </w:rPr>
            </w:pPr>
            <w:r>
              <w:rPr>
                <w:rStyle w:val="11"/>
                <w:rFonts w:hint="eastAsia"/>
              </w:rPr>
              <w:t>75%</w:t>
            </w:r>
            <w:r>
              <w:rPr>
                <w:rStyle w:val="11"/>
                <w:rFonts w:hint="eastAsia"/>
              </w:rPr>
              <w:t>肟菌·戊唑醇水分散粒剂</w:t>
            </w:r>
          </w:p>
        </w:tc>
        <w:tc>
          <w:tcPr>
            <w:tcW w:w="919" w:type="pct"/>
            <w:shd w:val="clear" w:color="auto" w:fill="auto"/>
            <w:vAlign w:val="center"/>
          </w:tcPr>
          <w:p w:rsidR="00C9269F" w:rsidRDefault="00FA574A">
            <w:pPr>
              <w:spacing w:line="240" w:lineRule="auto"/>
              <w:ind w:firstLineChars="0" w:firstLine="0"/>
              <w:jc w:val="center"/>
              <w:rPr>
                <w:rStyle w:val="11"/>
              </w:rPr>
            </w:pPr>
            <w:r>
              <w:rPr>
                <w:rStyle w:val="11"/>
                <w:rFonts w:hint="eastAsia"/>
              </w:rPr>
              <w:t>15-20</w:t>
            </w:r>
            <w:r>
              <w:rPr>
                <w:rStyle w:val="11"/>
                <w:rFonts w:hint="eastAsia"/>
              </w:rPr>
              <w:t>克</w:t>
            </w:r>
            <w:r>
              <w:rPr>
                <w:rStyle w:val="11"/>
                <w:rFonts w:hint="eastAsia"/>
              </w:rPr>
              <w:t>/</w:t>
            </w:r>
            <w:r>
              <w:rPr>
                <w:rStyle w:val="11"/>
                <w:rFonts w:hint="eastAsia"/>
              </w:rPr>
              <w:t>亩</w:t>
            </w:r>
          </w:p>
        </w:tc>
        <w:tc>
          <w:tcPr>
            <w:tcW w:w="435"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喷雾</w:t>
            </w:r>
          </w:p>
        </w:tc>
        <w:tc>
          <w:tcPr>
            <w:tcW w:w="671" w:type="pct"/>
            <w:shd w:val="clear" w:color="auto" w:fill="auto"/>
            <w:vAlign w:val="center"/>
          </w:tcPr>
          <w:p w:rsidR="00C9269F" w:rsidRDefault="00FA574A">
            <w:pPr>
              <w:spacing w:line="240" w:lineRule="auto"/>
              <w:ind w:firstLineChars="0" w:firstLine="0"/>
              <w:jc w:val="center"/>
              <w:rPr>
                <w:rStyle w:val="11"/>
              </w:rPr>
            </w:pPr>
            <w:r>
              <w:rPr>
                <w:rStyle w:val="11"/>
                <w:rFonts w:hint="eastAsia"/>
              </w:rPr>
              <w:t>28</w:t>
            </w:r>
          </w:p>
        </w:tc>
      </w:tr>
      <w:tr w:rsidR="00C9269F">
        <w:trPr>
          <w:trHeight w:val="567"/>
          <w:jc w:val="center"/>
        </w:trPr>
        <w:tc>
          <w:tcPr>
            <w:tcW w:w="647"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多种病害</w:t>
            </w:r>
          </w:p>
        </w:tc>
        <w:tc>
          <w:tcPr>
            <w:tcW w:w="665"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发生初期</w:t>
            </w:r>
          </w:p>
        </w:tc>
        <w:tc>
          <w:tcPr>
            <w:tcW w:w="1664" w:type="pct"/>
            <w:shd w:val="clear" w:color="auto" w:fill="auto"/>
            <w:vAlign w:val="center"/>
          </w:tcPr>
          <w:p w:rsidR="00C9269F" w:rsidRDefault="00FA574A">
            <w:pPr>
              <w:spacing w:line="240" w:lineRule="auto"/>
              <w:ind w:firstLineChars="0" w:firstLine="0"/>
              <w:jc w:val="center"/>
              <w:rPr>
                <w:rStyle w:val="11"/>
              </w:rPr>
            </w:pPr>
            <w:r>
              <w:rPr>
                <w:rStyle w:val="11"/>
                <w:rFonts w:hint="eastAsia"/>
              </w:rPr>
              <w:t>36%</w:t>
            </w:r>
            <w:r>
              <w:rPr>
                <w:rStyle w:val="11"/>
                <w:rFonts w:hint="eastAsia"/>
              </w:rPr>
              <w:t>甲基硫菌灵悬浮剂</w:t>
            </w:r>
          </w:p>
        </w:tc>
        <w:tc>
          <w:tcPr>
            <w:tcW w:w="919" w:type="pct"/>
            <w:shd w:val="clear" w:color="auto" w:fill="auto"/>
            <w:vAlign w:val="center"/>
          </w:tcPr>
          <w:p w:rsidR="00C9269F" w:rsidRDefault="00FA574A">
            <w:pPr>
              <w:spacing w:line="240" w:lineRule="auto"/>
              <w:ind w:firstLineChars="0" w:firstLine="0"/>
              <w:jc w:val="center"/>
              <w:rPr>
                <w:rStyle w:val="11"/>
              </w:rPr>
            </w:pPr>
            <w:r>
              <w:rPr>
                <w:rStyle w:val="11"/>
                <w:rFonts w:hint="eastAsia"/>
              </w:rPr>
              <w:t>400-1000</w:t>
            </w:r>
            <w:r>
              <w:rPr>
                <w:rStyle w:val="11"/>
                <w:rFonts w:hint="eastAsia"/>
              </w:rPr>
              <w:t>倍液</w:t>
            </w:r>
          </w:p>
        </w:tc>
        <w:tc>
          <w:tcPr>
            <w:tcW w:w="435"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喷雾</w:t>
            </w:r>
          </w:p>
        </w:tc>
        <w:tc>
          <w:tcPr>
            <w:tcW w:w="671" w:type="pct"/>
            <w:shd w:val="clear" w:color="auto" w:fill="auto"/>
            <w:vAlign w:val="center"/>
          </w:tcPr>
          <w:p w:rsidR="00C9269F" w:rsidRDefault="00FA574A">
            <w:pPr>
              <w:spacing w:line="240" w:lineRule="auto"/>
              <w:ind w:firstLineChars="0" w:firstLine="0"/>
              <w:jc w:val="center"/>
              <w:rPr>
                <w:rStyle w:val="11"/>
              </w:rPr>
            </w:pPr>
            <w:r>
              <w:rPr>
                <w:rStyle w:val="11"/>
                <w:rFonts w:hint="eastAsia"/>
              </w:rPr>
              <w:t>/</w:t>
            </w:r>
          </w:p>
        </w:tc>
      </w:tr>
      <w:tr w:rsidR="00C9269F">
        <w:trPr>
          <w:trHeight w:val="567"/>
          <w:jc w:val="center"/>
        </w:trPr>
        <w:tc>
          <w:tcPr>
            <w:tcW w:w="647" w:type="pct"/>
            <w:shd w:val="clear" w:color="auto" w:fill="auto"/>
            <w:vAlign w:val="center"/>
          </w:tcPr>
          <w:p w:rsidR="00C9269F" w:rsidRDefault="00FA574A">
            <w:pPr>
              <w:spacing w:line="240" w:lineRule="auto"/>
              <w:ind w:firstLineChars="0" w:firstLine="0"/>
              <w:jc w:val="center"/>
              <w:rPr>
                <w:rStyle w:val="11"/>
              </w:rPr>
            </w:pPr>
            <w:r>
              <w:rPr>
                <w:rStyle w:val="11"/>
                <w:rFonts w:hint="eastAsia"/>
              </w:rPr>
              <w:t>蚜虫</w:t>
            </w:r>
          </w:p>
        </w:tc>
        <w:tc>
          <w:tcPr>
            <w:tcW w:w="665"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发生期</w:t>
            </w:r>
          </w:p>
        </w:tc>
        <w:tc>
          <w:tcPr>
            <w:tcW w:w="1664" w:type="pct"/>
            <w:shd w:val="clear" w:color="auto" w:fill="auto"/>
            <w:vAlign w:val="center"/>
          </w:tcPr>
          <w:p w:rsidR="00C9269F" w:rsidRDefault="00FA574A">
            <w:pPr>
              <w:spacing w:line="240" w:lineRule="auto"/>
              <w:ind w:firstLineChars="0" w:firstLine="0"/>
              <w:jc w:val="center"/>
              <w:rPr>
                <w:rStyle w:val="11"/>
              </w:rPr>
            </w:pPr>
            <w:r>
              <w:rPr>
                <w:rStyle w:val="11"/>
                <w:rFonts w:hint="eastAsia"/>
              </w:rPr>
              <w:t>10%</w:t>
            </w:r>
            <w:r>
              <w:rPr>
                <w:rStyle w:val="11"/>
                <w:rFonts w:hint="eastAsia"/>
              </w:rPr>
              <w:t>吡虫啉可湿性粉剂</w:t>
            </w:r>
          </w:p>
        </w:tc>
        <w:tc>
          <w:tcPr>
            <w:tcW w:w="919" w:type="pct"/>
            <w:shd w:val="clear" w:color="auto" w:fill="auto"/>
            <w:vAlign w:val="center"/>
          </w:tcPr>
          <w:p w:rsidR="00C9269F" w:rsidRDefault="00FA574A">
            <w:pPr>
              <w:spacing w:line="240" w:lineRule="auto"/>
              <w:ind w:firstLineChars="0" w:firstLine="0"/>
              <w:jc w:val="center"/>
              <w:rPr>
                <w:rStyle w:val="11"/>
              </w:rPr>
            </w:pPr>
            <w:r>
              <w:rPr>
                <w:rStyle w:val="11"/>
                <w:rFonts w:hint="eastAsia"/>
              </w:rPr>
              <w:t>5</w:t>
            </w:r>
            <w:r>
              <w:rPr>
                <w:rStyle w:val="11"/>
                <w:rFonts w:hint="eastAsia"/>
              </w:rPr>
              <w:t>克</w:t>
            </w:r>
            <w:r>
              <w:rPr>
                <w:rStyle w:val="11"/>
                <w:rFonts w:hint="eastAsia"/>
              </w:rPr>
              <w:t>/</w:t>
            </w:r>
            <w:r>
              <w:rPr>
                <w:rStyle w:val="11"/>
                <w:rFonts w:hint="eastAsia"/>
              </w:rPr>
              <w:t>亩</w:t>
            </w:r>
          </w:p>
        </w:tc>
        <w:tc>
          <w:tcPr>
            <w:tcW w:w="435" w:type="pct"/>
            <w:shd w:val="clear" w:color="auto" w:fill="auto"/>
            <w:vAlign w:val="center"/>
          </w:tcPr>
          <w:p w:rsidR="00C9269F" w:rsidRDefault="00FA574A">
            <w:pPr>
              <w:spacing w:line="240" w:lineRule="auto"/>
              <w:ind w:firstLineChars="0" w:firstLine="0"/>
              <w:jc w:val="center"/>
              <w:rPr>
                <w:rStyle w:val="11"/>
              </w:rPr>
            </w:pPr>
            <w:r>
              <w:rPr>
                <w:rStyle w:val="11"/>
                <w:rFonts w:hint="eastAsia"/>
              </w:rPr>
              <w:t>喷雾</w:t>
            </w:r>
          </w:p>
        </w:tc>
        <w:tc>
          <w:tcPr>
            <w:tcW w:w="671" w:type="pct"/>
            <w:shd w:val="clear" w:color="auto" w:fill="auto"/>
            <w:vAlign w:val="center"/>
          </w:tcPr>
          <w:p w:rsidR="00C9269F" w:rsidRDefault="00FA574A">
            <w:pPr>
              <w:spacing w:line="240" w:lineRule="auto"/>
              <w:ind w:firstLineChars="0" w:firstLine="0"/>
              <w:jc w:val="center"/>
              <w:rPr>
                <w:rStyle w:val="11"/>
              </w:rPr>
            </w:pPr>
            <w:r>
              <w:rPr>
                <w:rStyle w:val="11"/>
                <w:rFonts w:hint="eastAsia"/>
              </w:rPr>
              <w:t>14</w:t>
            </w:r>
          </w:p>
        </w:tc>
      </w:tr>
      <w:tr w:rsidR="00C9269F">
        <w:trPr>
          <w:trHeight w:val="567"/>
          <w:jc w:val="center"/>
        </w:trPr>
        <w:tc>
          <w:tcPr>
            <w:tcW w:w="5000" w:type="pct"/>
            <w:gridSpan w:val="6"/>
            <w:vAlign w:val="center"/>
          </w:tcPr>
          <w:p w:rsidR="00C9269F" w:rsidRDefault="00FA574A">
            <w:pPr>
              <w:spacing w:line="240" w:lineRule="auto"/>
              <w:ind w:firstLineChars="0" w:firstLine="0"/>
              <w:rPr>
                <w:rStyle w:val="11"/>
              </w:rPr>
            </w:pPr>
            <w:r>
              <w:rPr>
                <w:rStyle w:val="11"/>
                <w:rFonts w:hint="eastAsia"/>
              </w:rPr>
              <w:t>注：农药使用应以最新版本</w:t>
            </w:r>
            <w:r>
              <w:rPr>
                <w:rStyle w:val="11"/>
                <w:rFonts w:hint="eastAsia"/>
              </w:rPr>
              <w:t>NY/T 393</w:t>
            </w:r>
            <w:r>
              <w:rPr>
                <w:rStyle w:val="11"/>
                <w:rFonts w:hint="eastAsia"/>
              </w:rPr>
              <w:t>的规定为准。</w:t>
            </w:r>
          </w:p>
        </w:tc>
      </w:tr>
    </w:tbl>
    <w:p w:rsidR="00C9269F" w:rsidRDefault="00C9269F">
      <w:pPr>
        <w:ind w:firstLineChars="0" w:firstLine="0"/>
      </w:pPr>
    </w:p>
    <w:p w:rsidR="00E25B9D" w:rsidRDefault="0087534B">
      <w:pPr>
        <w:ind w:firstLineChars="0" w:firstLine="0"/>
      </w:pPr>
      <w:r>
        <w:rPr>
          <w:noProof/>
        </w:rPr>
        <w:pict>
          <v:shape id="_x0000_s1028" type="#_x0000_t32" style="position:absolute;left:0;text-align:left;margin-left:134.6pt;margin-top:5.55pt;width:141.75pt;height:0;z-index:251662336" o:connectortype="straight" strokecolor="black [3213]" strokeweight="1pt"/>
        </w:pict>
      </w:r>
    </w:p>
    <w:sectPr w:rsidR="00E25B9D" w:rsidSect="00E25B9D">
      <w:footerReference w:type="default" r:id="rId15"/>
      <w:pgSz w:w="11906" w:h="16838"/>
      <w:pgMar w:top="1440" w:right="1800" w:bottom="1118"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34B" w:rsidRDefault="0087534B">
      <w:pPr>
        <w:spacing w:line="240" w:lineRule="auto"/>
        <w:ind w:firstLine="420"/>
      </w:pPr>
      <w:r>
        <w:separator/>
      </w:r>
    </w:p>
  </w:endnote>
  <w:endnote w:type="continuationSeparator" w:id="0">
    <w:p w:rsidR="0087534B" w:rsidRDefault="0087534B">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5255578"/>
      <w:docPartObj>
        <w:docPartGallery w:val="Page Numbers (Bottom of Page)"/>
        <w:docPartUnique/>
      </w:docPartObj>
    </w:sdtPr>
    <w:sdtEndPr/>
    <w:sdtContent>
      <w:p w:rsidR="00C9269F" w:rsidRDefault="00E25B9D" w:rsidP="00E25B9D">
        <w:pPr>
          <w:pStyle w:val="a5"/>
          <w:ind w:firstLineChars="0" w:firstLine="0"/>
        </w:pPr>
        <w:r>
          <w:fldChar w:fldCharType="begin"/>
        </w:r>
        <w:r>
          <w:instrText>PAGE   \* MERGEFORMAT</w:instrText>
        </w:r>
        <w:r>
          <w:fldChar w:fldCharType="separate"/>
        </w:r>
        <w:r w:rsidR="00C2734F" w:rsidRPr="00C2734F">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69F" w:rsidRDefault="00C9269F">
    <w:pPr>
      <w:pStyle w:val="a5"/>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69F" w:rsidRDefault="00C9269F">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1064645"/>
      <w:docPartObj>
        <w:docPartGallery w:val="AutoText"/>
      </w:docPartObj>
    </w:sdtPr>
    <w:sdtEndPr/>
    <w:sdtContent>
      <w:p w:rsidR="00C9269F" w:rsidRDefault="00FA574A" w:rsidP="00E25B9D">
        <w:pPr>
          <w:pStyle w:val="a5"/>
          <w:ind w:firstLine="360"/>
          <w:jc w:val="right"/>
        </w:pPr>
        <w:r>
          <w:fldChar w:fldCharType="begin"/>
        </w:r>
        <w:r>
          <w:instrText>PAGE   \* MERGEFORMAT</w:instrText>
        </w:r>
        <w:r>
          <w:fldChar w:fldCharType="separate"/>
        </w:r>
        <w:r w:rsidR="00C2734F" w:rsidRPr="00C2734F">
          <w:rPr>
            <w:noProof/>
            <w:lang w:val="zh-CN"/>
          </w:rPr>
          <w:t>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058546"/>
      <w:docPartObj>
        <w:docPartGallery w:val="AutoText"/>
      </w:docPartObj>
    </w:sdtPr>
    <w:sdtEndPr/>
    <w:sdtContent>
      <w:p w:rsidR="00C9269F" w:rsidRDefault="00FA574A" w:rsidP="00E25B9D">
        <w:pPr>
          <w:pStyle w:val="a5"/>
          <w:ind w:firstLine="360"/>
          <w:jc w:val="right"/>
        </w:pPr>
        <w:r>
          <w:fldChar w:fldCharType="begin"/>
        </w:r>
        <w:r>
          <w:instrText>PAGE   \* MERGEFORMAT</w:instrText>
        </w:r>
        <w:r>
          <w:fldChar w:fldCharType="separate"/>
        </w:r>
        <w:r w:rsidR="00C2734F" w:rsidRPr="00C2734F">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34B" w:rsidRDefault="0087534B">
      <w:pPr>
        <w:ind w:firstLine="420"/>
      </w:pPr>
      <w:r>
        <w:separator/>
      </w:r>
    </w:p>
  </w:footnote>
  <w:footnote w:type="continuationSeparator" w:id="0">
    <w:p w:rsidR="0087534B" w:rsidRDefault="0087534B">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69F" w:rsidRDefault="0087534B" w:rsidP="00E25B9D">
    <w:pPr>
      <w:pStyle w:val="a6"/>
      <w:pBdr>
        <w:bottom w:val="none" w:sz="0" w:space="0" w:color="auto"/>
      </w:pBdr>
      <w:ind w:firstLine="360"/>
    </w:pPr>
    <w:r>
      <w:pict w14:anchorId="0057A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61104" o:spid="_x0000_s2050" type="#_x0000_t75" style="position:absolute;left:0;text-align:left;margin-left:0;margin-top:0;width:415.25pt;height:387pt;z-index:-25165619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69F" w:rsidRDefault="0087534B">
    <w:pPr>
      <w:pStyle w:val="a6"/>
      <w:pBdr>
        <w:bottom w:val="none" w:sz="0" w:space="0" w:color="auto"/>
      </w:pBdr>
      <w:ind w:firstLine="360"/>
    </w:pPr>
    <w:r>
      <w:pict w14:anchorId="4C157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61105" o:spid="_x0000_s2051" type="#_x0000_t75" style="position:absolute;left:0;text-align:left;margin-left:0;margin-top:0;width:415.25pt;height:38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69F" w:rsidRDefault="0087534B">
    <w:pPr>
      <w:pStyle w:val="a6"/>
      <w:ind w:firstLine="360"/>
    </w:pPr>
    <w:r>
      <w:pict w14:anchorId="2820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61103" o:spid="_x0000_s2049" type="#_x0000_t75" style="position:absolute;left:0;text-align:left;margin-left:0;margin-top:0;width:415.25pt;height:387pt;z-index:-25165721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9E1104"/>
    <w:rsid w:val="000018A6"/>
    <w:rsid w:val="0009675B"/>
    <w:rsid w:val="000B75E5"/>
    <w:rsid w:val="000F3D25"/>
    <w:rsid w:val="00122CF6"/>
    <w:rsid w:val="0014506D"/>
    <w:rsid w:val="0015455F"/>
    <w:rsid w:val="0015587F"/>
    <w:rsid w:val="00155FA5"/>
    <w:rsid w:val="00164BAD"/>
    <w:rsid w:val="00184E72"/>
    <w:rsid w:val="00194B5E"/>
    <w:rsid w:val="001A73E1"/>
    <w:rsid w:val="001D12E5"/>
    <w:rsid w:val="001D5EEA"/>
    <w:rsid w:val="00287942"/>
    <w:rsid w:val="002D1346"/>
    <w:rsid w:val="003557C9"/>
    <w:rsid w:val="00384D00"/>
    <w:rsid w:val="003951F7"/>
    <w:rsid w:val="003D79A8"/>
    <w:rsid w:val="003E267A"/>
    <w:rsid w:val="003F609A"/>
    <w:rsid w:val="004300E8"/>
    <w:rsid w:val="004D4971"/>
    <w:rsid w:val="00556027"/>
    <w:rsid w:val="00594D4D"/>
    <w:rsid w:val="00605637"/>
    <w:rsid w:val="00643004"/>
    <w:rsid w:val="00680B06"/>
    <w:rsid w:val="006813E3"/>
    <w:rsid w:val="00694665"/>
    <w:rsid w:val="006D1BA5"/>
    <w:rsid w:val="006F405F"/>
    <w:rsid w:val="0070541C"/>
    <w:rsid w:val="0070556D"/>
    <w:rsid w:val="00744F3C"/>
    <w:rsid w:val="00783C63"/>
    <w:rsid w:val="00791CE1"/>
    <w:rsid w:val="007A5073"/>
    <w:rsid w:val="007C0F7D"/>
    <w:rsid w:val="007C62B5"/>
    <w:rsid w:val="007D16AF"/>
    <w:rsid w:val="007E5643"/>
    <w:rsid w:val="007F5DBC"/>
    <w:rsid w:val="00827E3C"/>
    <w:rsid w:val="0087534B"/>
    <w:rsid w:val="00883B89"/>
    <w:rsid w:val="008A5193"/>
    <w:rsid w:val="008B4310"/>
    <w:rsid w:val="0095572F"/>
    <w:rsid w:val="00992A7A"/>
    <w:rsid w:val="00997BAF"/>
    <w:rsid w:val="009A4C88"/>
    <w:rsid w:val="009A57E4"/>
    <w:rsid w:val="009D75C4"/>
    <w:rsid w:val="009E1104"/>
    <w:rsid w:val="00A63564"/>
    <w:rsid w:val="00A75625"/>
    <w:rsid w:val="00A801DB"/>
    <w:rsid w:val="00B05887"/>
    <w:rsid w:val="00B303A2"/>
    <w:rsid w:val="00B454E1"/>
    <w:rsid w:val="00B529D8"/>
    <w:rsid w:val="00B83FC6"/>
    <w:rsid w:val="00B85A03"/>
    <w:rsid w:val="00B930B2"/>
    <w:rsid w:val="00BA5D12"/>
    <w:rsid w:val="00BE30CD"/>
    <w:rsid w:val="00C2734F"/>
    <w:rsid w:val="00C35806"/>
    <w:rsid w:val="00C65CC7"/>
    <w:rsid w:val="00C9269F"/>
    <w:rsid w:val="00C9719E"/>
    <w:rsid w:val="00CD3258"/>
    <w:rsid w:val="00CD75F5"/>
    <w:rsid w:val="00D00194"/>
    <w:rsid w:val="00D104C0"/>
    <w:rsid w:val="00D35C50"/>
    <w:rsid w:val="00D37258"/>
    <w:rsid w:val="00D67E3B"/>
    <w:rsid w:val="00D84132"/>
    <w:rsid w:val="00E254F0"/>
    <w:rsid w:val="00E25B9D"/>
    <w:rsid w:val="00E5112D"/>
    <w:rsid w:val="00E60DB1"/>
    <w:rsid w:val="00E66596"/>
    <w:rsid w:val="00EA24B8"/>
    <w:rsid w:val="00EC0765"/>
    <w:rsid w:val="00ED7342"/>
    <w:rsid w:val="00ED78A6"/>
    <w:rsid w:val="00EF40D3"/>
    <w:rsid w:val="00F0603F"/>
    <w:rsid w:val="00F07403"/>
    <w:rsid w:val="00F11CD2"/>
    <w:rsid w:val="00F13618"/>
    <w:rsid w:val="00F55E12"/>
    <w:rsid w:val="00F766E0"/>
    <w:rsid w:val="00F847EF"/>
    <w:rsid w:val="00FA574A"/>
    <w:rsid w:val="00FC7383"/>
    <w:rsid w:val="01115B19"/>
    <w:rsid w:val="02BE37F5"/>
    <w:rsid w:val="05195543"/>
    <w:rsid w:val="06190FCC"/>
    <w:rsid w:val="073001AE"/>
    <w:rsid w:val="08B36BB7"/>
    <w:rsid w:val="08C07E24"/>
    <w:rsid w:val="099C263F"/>
    <w:rsid w:val="09D516AE"/>
    <w:rsid w:val="0A8D2FC4"/>
    <w:rsid w:val="0A927BA1"/>
    <w:rsid w:val="0B183F48"/>
    <w:rsid w:val="0BF4406D"/>
    <w:rsid w:val="0EB57BCC"/>
    <w:rsid w:val="0F982AF9"/>
    <w:rsid w:val="10101691"/>
    <w:rsid w:val="10106A15"/>
    <w:rsid w:val="131B5AA1"/>
    <w:rsid w:val="155B33AF"/>
    <w:rsid w:val="1772678E"/>
    <w:rsid w:val="17FF27B0"/>
    <w:rsid w:val="18C059CA"/>
    <w:rsid w:val="1ACB0962"/>
    <w:rsid w:val="1B7B0307"/>
    <w:rsid w:val="1BBD6318"/>
    <w:rsid w:val="1F371DEA"/>
    <w:rsid w:val="20D504B9"/>
    <w:rsid w:val="216D6C84"/>
    <w:rsid w:val="21C85928"/>
    <w:rsid w:val="22926097"/>
    <w:rsid w:val="245931AF"/>
    <w:rsid w:val="258C30F1"/>
    <w:rsid w:val="265A320F"/>
    <w:rsid w:val="28306FBE"/>
    <w:rsid w:val="289B3D96"/>
    <w:rsid w:val="2B354B18"/>
    <w:rsid w:val="2B95624A"/>
    <w:rsid w:val="2BC82BD0"/>
    <w:rsid w:val="2EFA3AB0"/>
    <w:rsid w:val="2F99666D"/>
    <w:rsid w:val="322D5CC7"/>
    <w:rsid w:val="3300761C"/>
    <w:rsid w:val="3B1B0D67"/>
    <w:rsid w:val="4029321B"/>
    <w:rsid w:val="417D70DC"/>
    <w:rsid w:val="41A94360"/>
    <w:rsid w:val="429A4C67"/>
    <w:rsid w:val="46431172"/>
    <w:rsid w:val="46C73D61"/>
    <w:rsid w:val="473C454C"/>
    <w:rsid w:val="47721D0E"/>
    <w:rsid w:val="47E56984"/>
    <w:rsid w:val="49325BF9"/>
    <w:rsid w:val="4B4A0713"/>
    <w:rsid w:val="50B12C64"/>
    <w:rsid w:val="51183927"/>
    <w:rsid w:val="51A95108"/>
    <w:rsid w:val="5321034D"/>
    <w:rsid w:val="532306A7"/>
    <w:rsid w:val="53D224B3"/>
    <w:rsid w:val="53DA3854"/>
    <w:rsid w:val="54BE47E5"/>
    <w:rsid w:val="553D29CE"/>
    <w:rsid w:val="55C23E61"/>
    <w:rsid w:val="55F8320C"/>
    <w:rsid w:val="566D7DE0"/>
    <w:rsid w:val="5AB64552"/>
    <w:rsid w:val="5ABA5A4E"/>
    <w:rsid w:val="5B9F2F38"/>
    <w:rsid w:val="5C1E3DBB"/>
    <w:rsid w:val="5C844566"/>
    <w:rsid w:val="5D9B4B84"/>
    <w:rsid w:val="5DFD0A58"/>
    <w:rsid w:val="61A27C7B"/>
    <w:rsid w:val="61B0213B"/>
    <w:rsid w:val="624A1A72"/>
    <w:rsid w:val="62AF39BF"/>
    <w:rsid w:val="62B62BFB"/>
    <w:rsid w:val="63943E38"/>
    <w:rsid w:val="63BF40D6"/>
    <w:rsid w:val="660F575D"/>
    <w:rsid w:val="66DE4873"/>
    <w:rsid w:val="66EE1795"/>
    <w:rsid w:val="67C577E1"/>
    <w:rsid w:val="698C6AC2"/>
    <w:rsid w:val="69F820EF"/>
    <w:rsid w:val="6A93019D"/>
    <w:rsid w:val="6AA5217D"/>
    <w:rsid w:val="6DE83A96"/>
    <w:rsid w:val="6E265F40"/>
    <w:rsid w:val="6E6B1CE3"/>
    <w:rsid w:val="700F3CEF"/>
    <w:rsid w:val="701E0CF6"/>
    <w:rsid w:val="72BD11B0"/>
    <w:rsid w:val="73046268"/>
    <w:rsid w:val="73CB617F"/>
    <w:rsid w:val="75695C4F"/>
    <w:rsid w:val="77897E7B"/>
    <w:rsid w:val="785C7CED"/>
    <w:rsid w:val="78F61EF0"/>
    <w:rsid w:val="7C8512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1"/>
      <o:rules v:ext="edit">
        <o:r id="V:Rule1" type="connector" idref="#_x0000_s1026"/>
        <o:r id="V:Rule2" type="connector" idref="#_x0000_s1028"/>
        <o:r id="V:Rule3" type="connector" idref="#_x0000_s1027"/>
      </o:rules>
    </o:shapelayout>
  </w:shapeDefaults>
  <w:decimalSymbol w:val="."/>
  <w:listSeparator w:val=","/>
  <w15:docId w15:val="{31EA516C-48C2-4F8D-AEAF-6ABA5C3A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napToGrid w:val="0"/>
      <w:spacing w:line="360" w:lineRule="auto"/>
      <w:ind w:firstLineChars="200" w:firstLine="200"/>
      <w:jc w:val="both"/>
    </w:pPr>
    <w:rPr>
      <w:rFonts w:eastAsiaTheme="minorEastAsia" w:cstheme="minorBidi"/>
      <w:kern w:val="2"/>
      <w:sz w:val="21"/>
      <w:szCs w:val="22"/>
    </w:rPr>
  </w:style>
  <w:style w:type="paragraph" w:styleId="1">
    <w:name w:val="heading 1"/>
    <w:basedOn w:val="a"/>
    <w:next w:val="a"/>
    <w:uiPriority w:val="9"/>
    <w:qFormat/>
    <w:pPr>
      <w:keepNext/>
      <w:keepLines/>
      <w:ind w:firstLineChars="0" w:firstLine="0"/>
      <w:outlineLvl w:val="0"/>
    </w:pPr>
    <w:rPr>
      <w:rFonts w:ascii="黑体" w:eastAsia="黑体" w:hAnsi="黑体"/>
      <w:bCs/>
      <w:kern w:val="44"/>
      <w:szCs w:val="44"/>
    </w:rPr>
  </w:style>
  <w:style w:type="paragraph" w:styleId="2">
    <w:name w:val="heading 2"/>
    <w:basedOn w:val="a"/>
    <w:next w:val="a"/>
    <w:link w:val="2Char"/>
    <w:uiPriority w:val="9"/>
    <w:unhideWhenUsed/>
    <w:qFormat/>
    <w:pPr>
      <w:keepNext/>
      <w:keepLines/>
      <w:ind w:firstLineChars="0" w:firstLine="0"/>
      <w:outlineLvl w:val="1"/>
    </w:pPr>
    <w:rPr>
      <w:rFonts w:ascii="黑体" w:eastAsia="黑体" w:hAnsi="黑体" w:cstheme="majorBidi"/>
      <w:bCs/>
      <w:szCs w:val="32"/>
    </w:rPr>
  </w:style>
  <w:style w:type="paragraph" w:styleId="3">
    <w:name w:val="heading 3"/>
    <w:basedOn w:val="a"/>
    <w:next w:val="a"/>
    <w:link w:val="3Char"/>
    <w:uiPriority w:val="9"/>
    <w:unhideWhenUsed/>
    <w:qFormat/>
    <w:pPr>
      <w:keepNext/>
      <w:keepLines/>
      <w:ind w:firstLineChars="0" w:firstLine="0"/>
      <w:outlineLvl w:val="2"/>
    </w:pPr>
    <w:rPr>
      <w:rFonts w:ascii="黑体" w:eastAsia="黑体" w:hAnsi="黑体"/>
      <w:bCs/>
      <w:szCs w:val="32"/>
    </w:rPr>
  </w:style>
  <w:style w:type="paragraph" w:styleId="4">
    <w:name w:val="heading 4"/>
    <w:basedOn w:val="a"/>
    <w:next w:val="a"/>
    <w:link w:val="4Char"/>
    <w:uiPriority w:val="9"/>
    <w:unhideWhenUsed/>
    <w:qFormat/>
    <w:pPr>
      <w:keepNext/>
      <w:keepLines/>
      <w:ind w:firstLineChars="0" w:firstLine="0"/>
      <w:outlineLvl w:val="3"/>
    </w:pPr>
    <w:rPr>
      <w:rFonts w:ascii="黑体" w:eastAsia="黑体" w:hAnsi="黑体"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paragraph" w:customStyle="1" w:styleId="10">
    <w:name w:val="列出段落1"/>
    <w:basedOn w:val="a"/>
    <w:uiPriority w:val="99"/>
    <w:qFormat/>
    <w:pPr>
      <w:ind w:firstLine="420"/>
    </w:pPr>
    <w:rPr>
      <w:rFonts w:eastAsia="宋体" w:cs="Times New Roman"/>
      <w:szCs w:val="21"/>
    </w:rPr>
  </w:style>
  <w:style w:type="paragraph" w:customStyle="1" w:styleId="a9">
    <w:name w:val="章标题"/>
    <w:next w:val="a"/>
    <w:pPr>
      <w:spacing w:beforeLines="100" w:afterLines="100"/>
      <w:jc w:val="both"/>
      <w:outlineLvl w:val="1"/>
    </w:pPr>
    <w:rPr>
      <w:rFonts w:ascii="黑体" w:eastAsia="黑体"/>
      <w:sz w:val="21"/>
    </w:rPr>
  </w:style>
  <w:style w:type="paragraph" w:customStyle="1" w:styleId="HTML1">
    <w:name w:val="HTML 预设格式1"/>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kern w:val="0"/>
      <w:sz w:val="20"/>
      <w:szCs w:val="20"/>
    </w:rPr>
  </w:style>
  <w:style w:type="paragraph" w:customStyle="1" w:styleId="HTML2">
    <w:name w:val="HTML 预设格式2"/>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hint="eastAsia"/>
      <w:kern w:val="0"/>
      <w:sz w:val="20"/>
      <w:szCs w:val="20"/>
    </w:rPr>
  </w:style>
  <w:style w:type="character" w:customStyle="1" w:styleId="Char">
    <w:name w:val="批注框文本 Char"/>
    <w:basedOn w:val="a0"/>
    <w:link w:val="a4"/>
    <w:uiPriority w:val="99"/>
    <w:semiHidden/>
    <w:qFormat/>
    <w:rPr>
      <w:sz w:val="18"/>
      <w:szCs w:val="18"/>
    </w:rPr>
  </w:style>
  <w:style w:type="character" w:customStyle="1" w:styleId="Char1">
    <w:name w:val="页眉 Char"/>
    <w:basedOn w:val="a0"/>
    <w:link w:val="a6"/>
    <w:uiPriority w:val="99"/>
    <w:qFormat/>
    <w:rPr>
      <w:kern w:val="2"/>
      <w:sz w:val="18"/>
      <w:szCs w:val="18"/>
    </w:rPr>
  </w:style>
  <w:style w:type="character" w:customStyle="1" w:styleId="Char0">
    <w:name w:val="页脚 Char"/>
    <w:basedOn w:val="a0"/>
    <w:link w:val="a5"/>
    <w:uiPriority w:val="99"/>
    <w:qFormat/>
    <w:rPr>
      <w:kern w:val="2"/>
      <w:sz w:val="18"/>
      <w:szCs w:val="18"/>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2Char">
    <w:name w:val="标题 2 Char"/>
    <w:basedOn w:val="a0"/>
    <w:link w:val="2"/>
    <w:uiPriority w:val="9"/>
    <w:qFormat/>
    <w:rPr>
      <w:rFonts w:ascii="黑体" w:eastAsia="黑体" w:hAnsi="黑体" w:cstheme="majorBidi"/>
      <w:bCs/>
      <w:kern w:val="2"/>
      <w:sz w:val="21"/>
      <w:szCs w:val="32"/>
    </w:rPr>
  </w:style>
  <w:style w:type="character" w:customStyle="1" w:styleId="3Char">
    <w:name w:val="标题 3 Char"/>
    <w:basedOn w:val="a0"/>
    <w:link w:val="3"/>
    <w:uiPriority w:val="9"/>
    <w:rPr>
      <w:rFonts w:ascii="黑体" w:eastAsia="黑体" w:hAnsi="黑体" w:cstheme="minorBidi"/>
      <w:bCs/>
      <w:kern w:val="2"/>
      <w:sz w:val="21"/>
      <w:szCs w:val="32"/>
    </w:rPr>
  </w:style>
  <w:style w:type="character" w:customStyle="1" w:styleId="4Char">
    <w:name w:val="标题 4 Char"/>
    <w:basedOn w:val="a0"/>
    <w:link w:val="4"/>
    <w:uiPriority w:val="9"/>
    <w:rPr>
      <w:rFonts w:ascii="黑体" w:eastAsia="黑体" w:hAnsi="黑体" w:cstheme="majorBidi"/>
      <w:bCs/>
      <w:kern w:val="2"/>
      <w:sz w:val="21"/>
      <w:szCs w:val="28"/>
    </w:rPr>
  </w:style>
  <w:style w:type="character" w:customStyle="1" w:styleId="11">
    <w:name w:val="不明显强调1"/>
    <w:basedOn w:val="a0"/>
    <w:uiPriority w:val="19"/>
    <w:qFormat/>
    <w:rPr>
      <w:rFonts w:ascii="Times New Roman" w:eastAsia="宋体" w:hAnsi="Times New Roman"/>
      <w:iCs/>
      <w:color w:val="404040" w:themeColor="text1" w:themeTint="BF"/>
      <w:sz w:val="2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85766D-D902-461E-B9F0-5E36FBAB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587</Words>
  <Characters>3348</Characters>
  <Application>Microsoft Office Word</Application>
  <DocSecurity>0</DocSecurity>
  <Lines>27</Lines>
  <Paragraphs>7</Paragraphs>
  <ScaleCrop>false</ScaleCrop>
  <Company>Microsoft</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马雪</cp:lastModifiedBy>
  <cp:revision>28</cp:revision>
  <dcterms:created xsi:type="dcterms:W3CDTF">2025-10-10T07:46:00Z</dcterms:created>
  <dcterms:modified xsi:type="dcterms:W3CDTF">2026-04-14T06:01:00Z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eyJoZGlkIjoiZTllMzJhMDAxYmI5YzYwMWZiNWZiMDU0MDAxYzVmYjkiLCJ1c2VySWQiOiI0OTI1NDM0NjkifQ==</vt:lpwstr>
  </property>
  <property fmtid="{D5CDD505-2E9C-101B-9397-08002B2CF9AE}" pid="3" name="KSOProductBuildVer">
    <vt:lpwstr>2052-12.1.0.25225</vt:lpwstr>
  </property>
  <property fmtid="{D5CDD505-2E9C-101B-9397-08002B2CF9AE}" pid="4" name="ICV">
    <vt:lpwstr>9022822A4DAA4459BDB4FD0AE39124F5_13</vt:lpwstr>
  </property>
</Properties>
</file>